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66" w:rsidRPr="00A63AE1" w:rsidRDefault="00E33566" w:rsidP="00E335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AE1">
        <w:rPr>
          <w:rFonts w:ascii="Times New Roman" w:hAnsi="Times New Roman" w:cs="Times New Roman"/>
          <w:bCs/>
          <w:sz w:val="28"/>
          <w:szCs w:val="28"/>
        </w:rPr>
        <w:t>Т.В. Макаренко, Д.С. Михалев, О.П. Колесов, М.А. Малкова</w:t>
      </w:r>
    </w:p>
    <w:p w:rsidR="00CA3575" w:rsidRPr="00A63AE1" w:rsidRDefault="00E33566" w:rsidP="00E335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A10E5" w:rsidRPr="00A63AE1">
        <w:rPr>
          <w:rFonts w:ascii="Times New Roman" w:hAnsi="Times New Roman" w:cs="Times New Roman"/>
          <w:b/>
          <w:bCs/>
          <w:sz w:val="28"/>
          <w:szCs w:val="28"/>
        </w:rPr>
        <w:t>Анали</w:t>
      </w:r>
      <w:r w:rsidRPr="00A63AE1">
        <w:rPr>
          <w:rFonts w:ascii="Times New Roman" w:hAnsi="Times New Roman" w:cs="Times New Roman"/>
          <w:b/>
          <w:bCs/>
          <w:sz w:val="28"/>
          <w:szCs w:val="28"/>
        </w:rPr>
        <w:t>з отравлений спиртосодержащими и техническими жидкостями в ГБУЗ С</w:t>
      </w:r>
      <w:proofErr w:type="gramStart"/>
      <w:r w:rsidRPr="00A63AE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60069" w:rsidRPr="00A63AE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C60069" w:rsidRPr="00A63AE1">
        <w:rPr>
          <w:rFonts w:ascii="Times New Roman" w:hAnsi="Times New Roman" w:cs="Times New Roman"/>
          <w:b/>
          <w:bCs/>
          <w:sz w:val="28"/>
          <w:szCs w:val="28"/>
        </w:rPr>
        <w:t>БСМЭ» за период 2012-201</w:t>
      </w:r>
      <w:r w:rsidR="0037348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A10E5" w:rsidRPr="00A63AE1">
        <w:rPr>
          <w:rFonts w:ascii="Times New Roman" w:hAnsi="Times New Roman" w:cs="Times New Roman"/>
          <w:b/>
          <w:bCs/>
          <w:sz w:val="28"/>
          <w:szCs w:val="28"/>
        </w:rPr>
        <w:t>г.г.</w:t>
      </w:r>
      <w:r w:rsidRPr="00A63AE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60069" w:rsidRPr="00A63AE1" w:rsidRDefault="00C60069" w:rsidP="00E33566">
      <w:pPr>
        <w:jc w:val="center"/>
        <w:rPr>
          <w:rFonts w:ascii="Times New Roman" w:hAnsi="Times New Roman"/>
          <w:sz w:val="28"/>
          <w:szCs w:val="28"/>
        </w:rPr>
      </w:pPr>
      <w:r w:rsidRPr="00A63AE1">
        <w:rPr>
          <w:rFonts w:ascii="Times New Roman" w:hAnsi="Times New Roman"/>
          <w:sz w:val="28"/>
          <w:szCs w:val="28"/>
        </w:rPr>
        <w:t>ГБУЗ СО «БСМЭ», г. Екатеринбург</w:t>
      </w:r>
    </w:p>
    <w:p w:rsidR="00C60069" w:rsidRPr="00A63AE1" w:rsidRDefault="00C60069" w:rsidP="00C60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069" w:rsidRPr="00C60069" w:rsidRDefault="00C60069" w:rsidP="00626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E1">
        <w:rPr>
          <w:rFonts w:ascii="Times New Roman" w:hAnsi="Times New Roman"/>
          <w:sz w:val="28"/>
          <w:szCs w:val="28"/>
        </w:rPr>
        <w:t>Цель исследования: Провести структурный анализ</w:t>
      </w:r>
      <w:r w:rsidRPr="00C60069">
        <w:rPr>
          <w:rFonts w:ascii="Times New Roman" w:hAnsi="Times New Roman"/>
          <w:sz w:val="28"/>
          <w:szCs w:val="28"/>
        </w:rPr>
        <w:t xml:space="preserve"> обнаруживаемых при судебно-химическом исследовании </w:t>
      </w:r>
      <w:r>
        <w:rPr>
          <w:rFonts w:ascii="Times New Roman" w:hAnsi="Times New Roman"/>
          <w:sz w:val="28"/>
          <w:szCs w:val="28"/>
        </w:rPr>
        <w:t xml:space="preserve">этанола, технических жидкостей и растворителей, а также </w:t>
      </w:r>
      <w:r w:rsidR="00A63AE1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анализ отравлений спиртосодержащими и техническими жидкостями</w:t>
      </w:r>
      <w:r w:rsidRPr="00C60069">
        <w:rPr>
          <w:rFonts w:ascii="Times New Roman" w:hAnsi="Times New Roman"/>
          <w:sz w:val="28"/>
          <w:szCs w:val="28"/>
        </w:rPr>
        <w:t xml:space="preserve"> в ГБУЗ СО «БСМЭ» за период 20</w:t>
      </w:r>
      <w:r>
        <w:rPr>
          <w:rFonts w:ascii="Times New Roman" w:hAnsi="Times New Roman"/>
          <w:sz w:val="28"/>
          <w:szCs w:val="28"/>
        </w:rPr>
        <w:t>12</w:t>
      </w:r>
      <w:r w:rsidRPr="00C60069">
        <w:rPr>
          <w:rFonts w:ascii="Times New Roman" w:hAnsi="Times New Roman"/>
          <w:sz w:val="28"/>
          <w:szCs w:val="28"/>
        </w:rPr>
        <w:t>-201</w:t>
      </w:r>
      <w:r w:rsidR="0037348C">
        <w:rPr>
          <w:rFonts w:ascii="Times New Roman" w:hAnsi="Times New Roman"/>
          <w:sz w:val="28"/>
          <w:szCs w:val="28"/>
        </w:rPr>
        <w:t>6</w:t>
      </w:r>
      <w:r w:rsidRPr="00C60069">
        <w:rPr>
          <w:rFonts w:ascii="Times New Roman" w:hAnsi="Times New Roman"/>
          <w:sz w:val="28"/>
          <w:szCs w:val="28"/>
        </w:rPr>
        <w:t>г.г.</w:t>
      </w:r>
    </w:p>
    <w:p w:rsidR="00D04206" w:rsidRPr="001568DB" w:rsidRDefault="00C60069" w:rsidP="00CE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DB">
        <w:rPr>
          <w:rFonts w:ascii="Times New Roman" w:hAnsi="Times New Roman" w:cs="Times New Roman"/>
          <w:sz w:val="28"/>
          <w:szCs w:val="28"/>
        </w:rPr>
        <w:t xml:space="preserve">Материал исследования: годовые отчеты экспертной деятельности судебно-химического отделения и отдела судебно-медицинской экспертизы трупов </w:t>
      </w:r>
      <w:r w:rsidR="00A63AE1" w:rsidRPr="001568DB">
        <w:rPr>
          <w:rFonts w:ascii="Times New Roman" w:hAnsi="Times New Roman" w:cs="Times New Roman"/>
          <w:sz w:val="28"/>
          <w:szCs w:val="28"/>
        </w:rPr>
        <w:t xml:space="preserve">за 2012-2017 г.г. </w:t>
      </w:r>
      <w:r w:rsidRPr="001568DB">
        <w:rPr>
          <w:rFonts w:ascii="Times New Roman" w:hAnsi="Times New Roman" w:cs="Times New Roman"/>
          <w:sz w:val="28"/>
          <w:szCs w:val="28"/>
        </w:rPr>
        <w:t>(таблицы 3200  и 3440 формы</w:t>
      </w:r>
      <w:r w:rsidR="00A63AE1" w:rsidRPr="001568DB">
        <w:rPr>
          <w:rFonts w:ascii="Times New Roman" w:hAnsi="Times New Roman" w:cs="Times New Roman"/>
          <w:sz w:val="28"/>
          <w:szCs w:val="28"/>
        </w:rPr>
        <w:t xml:space="preserve"> отчета № 42). </w:t>
      </w:r>
    </w:p>
    <w:p w:rsidR="00D04206" w:rsidRPr="007D2185" w:rsidRDefault="0018380A" w:rsidP="007D2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многих химических соединений, способных вызывать эйфорию, а при регулярном употреблении пристрастие или состояние зависимости, этанол занимает особое положение.</w:t>
      </w:r>
      <w:r w:rsidR="00626003" w:rsidRPr="00156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="00D04206" w:rsidRPr="00156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ффекты алкоголя могут быть имитированы др</w:t>
      </w:r>
      <w:r w:rsidR="00626003" w:rsidRPr="00156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угими химическими соединениями, близкими </w:t>
      </w:r>
      <w:r w:rsidR="00D04206" w:rsidRPr="00156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этанолу по </w:t>
      </w:r>
      <w:r w:rsidR="00D04206" w:rsidRPr="00CE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строению и ф</w:t>
      </w:r>
      <w:r w:rsidR="00CE3C3C" w:rsidRPr="00CE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изико-химическим свойствам, э</w:t>
      </w:r>
      <w:r w:rsidR="00626003" w:rsidRPr="00CE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– </w:t>
      </w:r>
      <w:r w:rsidR="007D21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D04206" w:rsidRPr="00CE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суррогаты </w:t>
      </w:r>
      <w:r w:rsidR="00626003" w:rsidRPr="00CE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алкоголя</w:t>
      </w:r>
      <w:r w:rsidR="007D21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CE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</w:t>
      </w:r>
      <w:r w:rsidR="00D04206" w:rsidRPr="00CE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числу </w:t>
      </w:r>
      <w:r w:rsidR="00CE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суррогатов алкоголя</w:t>
      </w:r>
      <w:r w:rsidR="00D04206" w:rsidRPr="00CE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относ</w:t>
      </w:r>
      <w:r w:rsidR="00CE3C3C" w:rsidRPr="00CE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D04206" w:rsidRPr="00CE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</w:t>
      </w:r>
      <w:r w:rsidR="00CE2D2F" w:rsidRPr="00CE2D2F">
        <w:rPr>
          <w:rStyle w:val="A4"/>
          <w:rFonts w:ascii="Times New Roman" w:hAnsi="Times New Roman" w:cs="Times New Roman"/>
          <w:sz w:val="28"/>
          <w:szCs w:val="28"/>
        </w:rPr>
        <w:t xml:space="preserve">«истинные суррогаты» (на основе недостаточно очищенного этилового спирта) и «ложные суррогаты» (не содержащие этиловый спирт и представляющие собой другие одно- и многоатомные </w:t>
      </w:r>
      <w:r w:rsidR="00CE2D2F" w:rsidRPr="007D2185">
        <w:rPr>
          <w:rStyle w:val="A4"/>
          <w:rFonts w:ascii="Times New Roman" w:hAnsi="Times New Roman" w:cs="Times New Roman"/>
          <w:sz w:val="28"/>
          <w:szCs w:val="28"/>
        </w:rPr>
        <w:t xml:space="preserve">спирты, хлорированные углеводороды и другие соединения, а также их смеси). </w:t>
      </w:r>
      <w:r w:rsidR="0037348C" w:rsidRPr="007D2185">
        <w:rPr>
          <w:rStyle w:val="A4"/>
          <w:rFonts w:ascii="Times New Roman" w:hAnsi="Times New Roman" w:cs="Times New Roman"/>
          <w:sz w:val="28"/>
          <w:szCs w:val="28"/>
        </w:rPr>
        <w:t xml:space="preserve">Следует отметить, что термин «суррогаты алкоголя» </w:t>
      </w:r>
      <w:r w:rsidR="007D2185" w:rsidRPr="00CE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37348C" w:rsidRPr="007D2185">
        <w:rPr>
          <w:rStyle w:val="A4"/>
          <w:rFonts w:ascii="Times New Roman" w:hAnsi="Times New Roman" w:cs="Times New Roman"/>
          <w:sz w:val="28"/>
          <w:szCs w:val="28"/>
        </w:rPr>
        <w:t xml:space="preserve"> собирательное понятие, основанное исключительно на субъективном признаке </w:t>
      </w:r>
      <w:r w:rsidR="007D2185" w:rsidRPr="00CE2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37348C" w:rsidRPr="007D2185">
        <w:rPr>
          <w:rStyle w:val="A4"/>
          <w:rFonts w:ascii="Times New Roman" w:hAnsi="Times New Roman" w:cs="Times New Roman"/>
          <w:sz w:val="28"/>
          <w:szCs w:val="28"/>
        </w:rPr>
        <w:t xml:space="preserve"> употребление вместо </w:t>
      </w:r>
      <w:r w:rsidR="0037348C" w:rsidRPr="007D218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алкогольных напитков, и это понятие существует только в отечественной литературе. </w:t>
      </w:r>
      <w:r w:rsidR="007D2185" w:rsidRPr="007D218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Также </w:t>
      </w:r>
      <w:r w:rsidR="0037348C" w:rsidRPr="007D218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надо отметить, что в МКБ 10 такого класса заболеваний нет</w:t>
      </w:r>
      <w:r w:rsidR="00B2060C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:rsidR="00975B18" w:rsidRDefault="00626003" w:rsidP="00B206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8DB">
        <w:rPr>
          <w:rFonts w:ascii="Times New Roman" w:hAnsi="Times New Roman" w:cs="Times New Roman"/>
          <w:color w:val="000000"/>
          <w:sz w:val="28"/>
          <w:szCs w:val="28"/>
        </w:rPr>
        <w:t>По данным статистической отчетности, приводимой Российским центром</w:t>
      </w:r>
      <w:r w:rsidR="007D2185">
        <w:rPr>
          <w:rFonts w:ascii="Times New Roman" w:hAnsi="Times New Roman" w:cs="Times New Roman"/>
          <w:color w:val="000000"/>
          <w:sz w:val="28"/>
          <w:szCs w:val="28"/>
        </w:rPr>
        <w:t xml:space="preserve"> судебно-медицинской экспертизы,</w:t>
      </w:r>
      <w:r w:rsidRPr="001568DB">
        <w:rPr>
          <w:rFonts w:ascii="Times New Roman" w:hAnsi="Times New Roman" w:cs="Times New Roman"/>
          <w:color w:val="000000"/>
          <w:sz w:val="28"/>
          <w:szCs w:val="28"/>
        </w:rPr>
        <w:t xml:space="preserve"> смертельные отравления алкоголем составляют более 52% всех отравлений. На долю смертельных отравлений непосредственно </w:t>
      </w:r>
      <w:r w:rsidR="007D218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568DB">
        <w:rPr>
          <w:rFonts w:ascii="Times New Roman" w:hAnsi="Times New Roman" w:cs="Times New Roman"/>
          <w:color w:val="000000"/>
          <w:sz w:val="28"/>
          <w:szCs w:val="28"/>
        </w:rPr>
        <w:t>суррогатами алкоголя</w:t>
      </w:r>
      <w:r w:rsidR="007D218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568DB">
        <w:rPr>
          <w:rFonts w:ascii="Times New Roman" w:hAnsi="Times New Roman" w:cs="Times New Roman"/>
          <w:color w:val="000000"/>
          <w:sz w:val="28"/>
          <w:szCs w:val="28"/>
        </w:rPr>
        <w:t xml:space="preserve"> приходится около 3-</w:t>
      </w:r>
      <w:r w:rsidRPr="001568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5%. Урон от алкогольных потерь в нашей стране составляет примерно 500-700 тысяч человек в год. Прямые потери – это когда алкоголь является основной причиной смерти, и непрямые потери – это когда алкоголь способствует наступлению смерти при заболеваниях, прежде всего, </w:t>
      </w:r>
      <w:proofErr w:type="gramStart"/>
      <w:r w:rsidRPr="001568DB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1568DB">
        <w:rPr>
          <w:rFonts w:ascii="Times New Roman" w:hAnsi="Times New Roman" w:cs="Times New Roman"/>
          <w:color w:val="000000"/>
          <w:sz w:val="28"/>
          <w:szCs w:val="28"/>
        </w:rPr>
        <w:t xml:space="preserve"> системы</w:t>
      </w:r>
      <w:r w:rsidR="004A230F" w:rsidRPr="004A230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A230F">
        <w:rPr>
          <w:rFonts w:ascii="Times New Roman" w:hAnsi="Times New Roman" w:cs="Times New Roman"/>
          <w:color w:val="000000"/>
          <w:sz w:val="28"/>
          <w:szCs w:val="28"/>
        </w:rPr>
        <w:t>таблица 1)</w:t>
      </w:r>
      <w:r w:rsidRPr="001568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A09C6" w:rsidRDefault="00975B18" w:rsidP="009E4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1. </w:t>
      </w:r>
      <w:r w:rsidR="009E433E">
        <w:rPr>
          <w:rFonts w:ascii="Times New Roman" w:hAnsi="Times New Roman"/>
          <w:sz w:val="24"/>
          <w:szCs w:val="24"/>
        </w:rPr>
        <w:t xml:space="preserve">Обнаружение алкоголя при насильственной и ненасильственной </w:t>
      </w:r>
      <w:proofErr w:type="spellStart"/>
      <w:r w:rsidR="009E433E">
        <w:rPr>
          <w:rFonts w:ascii="Times New Roman" w:hAnsi="Times New Roman"/>
          <w:sz w:val="24"/>
          <w:szCs w:val="24"/>
        </w:rPr>
        <w:t>смерти</w:t>
      </w:r>
      <w:r w:rsidR="003F0123">
        <w:rPr>
          <w:rFonts w:ascii="Times New Roman" w:hAnsi="Times New Roman"/>
          <w:sz w:val="24"/>
          <w:szCs w:val="24"/>
        </w:rPr>
        <w:t>за</w:t>
      </w:r>
      <w:proofErr w:type="spellEnd"/>
      <w:r w:rsidR="003F0123">
        <w:rPr>
          <w:rFonts w:ascii="Times New Roman" w:hAnsi="Times New Roman"/>
          <w:sz w:val="24"/>
          <w:szCs w:val="24"/>
        </w:rPr>
        <w:t xml:space="preserve"> период 2012-</w:t>
      </w:r>
      <w:r>
        <w:rPr>
          <w:rFonts w:ascii="Times New Roman" w:hAnsi="Times New Roman"/>
          <w:sz w:val="24"/>
          <w:szCs w:val="24"/>
        </w:rPr>
        <w:t>2017 г.</w:t>
      </w:r>
      <w:r w:rsidR="003F012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по данным ГБУЗ СО «БСМЭ»</w:t>
      </w:r>
      <w:r w:rsidR="009E433E">
        <w:rPr>
          <w:rFonts w:ascii="Times New Roman" w:hAnsi="Times New Roman"/>
          <w:sz w:val="24"/>
          <w:szCs w:val="24"/>
        </w:rPr>
        <w:t xml:space="preserve"> (в процентах)</w:t>
      </w:r>
    </w:p>
    <w:p w:rsidR="009E433E" w:rsidRDefault="009E433E" w:rsidP="009E4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9"/>
        <w:gridCol w:w="1001"/>
        <w:gridCol w:w="1003"/>
        <w:gridCol w:w="1002"/>
        <w:gridCol w:w="1003"/>
        <w:gridCol w:w="1002"/>
        <w:gridCol w:w="1003"/>
      </w:tblGrid>
      <w:tr w:rsidR="003F0123" w:rsidRPr="008D773D" w:rsidTr="003F0123">
        <w:tc>
          <w:tcPr>
            <w:tcW w:w="2830" w:type="dxa"/>
            <w:shd w:val="clear" w:color="auto" w:fill="B8CCE4"/>
          </w:tcPr>
          <w:p w:rsidR="003F0123" w:rsidRPr="003F0123" w:rsidRDefault="009E433E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смерти</w:t>
            </w:r>
          </w:p>
        </w:tc>
        <w:tc>
          <w:tcPr>
            <w:tcW w:w="1105" w:type="dxa"/>
            <w:shd w:val="clear" w:color="auto" w:fill="D6E3BC" w:themeFill="accent3" w:themeFillTint="66"/>
          </w:tcPr>
          <w:p w:rsidR="003F0123" w:rsidRP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23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106" w:type="dxa"/>
            <w:shd w:val="clear" w:color="auto" w:fill="F2DBDB" w:themeFill="accent2" w:themeFillTint="33"/>
          </w:tcPr>
          <w:p w:rsidR="003F0123" w:rsidRP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23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105" w:type="dxa"/>
            <w:shd w:val="clear" w:color="auto" w:fill="D6E3BC" w:themeFill="accent3" w:themeFillTint="66"/>
          </w:tcPr>
          <w:p w:rsidR="003F0123" w:rsidRP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23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106" w:type="dxa"/>
            <w:shd w:val="clear" w:color="auto" w:fill="F2DBDB" w:themeFill="accent2" w:themeFillTint="33"/>
          </w:tcPr>
          <w:p w:rsidR="003F0123" w:rsidRP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23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105" w:type="dxa"/>
            <w:shd w:val="clear" w:color="auto" w:fill="D6E3BC" w:themeFill="accent3" w:themeFillTint="66"/>
          </w:tcPr>
          <w:p w:rsidR="003F0123" w:rsidRP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23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106" w:type="dxa"/>
            <w:shd w:val="clear" w:color="auto" w:fill="F2DBDB" w:themeFill="accent2" w:themeFillTint="33"/>
          </w:tcPr>
          <w:p w:rsidR="003F0123" w:rsidRP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123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</w:tr>
      <w:tr w:rsidR="003F0123" w:rsidRPr="0011767C" w:rsidTr="003F0123">
        <w:tc>
          <w:tcPr>
            <w:tcW w:w="2830" w:type="dxa"/>
            <w:shd w:val="clear" w:color="auto" w:fill="F2DBDB"/>
          </w:tcPr>
          <w:p w:rsidR="003F0123" w:rsidRPr="003F0123" w:rsidRDefault="003F0123" w:rsidP="003F01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 насильственной смерти</w:t>
            </w:r>
          </w:p>
        </w:tc>
        <w:tc>
          <w:tcPr>
            <w:tcW w:w="1105" w:type="dxa"/>
            <w:shd w:val="clear" w:color="auto" w:fill="auto"/>
          </w:tcPr>
          <w:p w:rsid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0123" w:rsidRP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58,25</w:t>
            </w:r>
          </w:p>
        </w:tc>
        <w:tc>
          <w:tcPr>
            <w:tcW w:w="1106" w:type="dxa"/>
            <w:shd w:val="clear" w:color="auto" w:fill="auto"/>
          </w:tcPr>
          <w:p w:rsid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0123" w:rsidRP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55,18</w:t>
            </w:r>
          </w:p>
        </w:tc>
        <w:tc>
          <w:tcPr>
            <w:tcW w:w="1105" w:type="dxa"/>
            <w:shd w:val="clear" w:color="auto" w:fill="auto"/>
          </w:tcPr>
          <w:p w:rsid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0123" w:rsidRP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56,90</w:t>
            </w:r>
          </w:p>
        </w:tc>
        <w:tc>
          <w:tcPr>
            <w:tcW w:w="1106" w:type="dxa"/>
            <w:shd w:val="clear" w:color="auto" w:fill="auto"/>
          </w:tcPr>
          <w:p w:rsid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0123" w:rsidRP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55,40</w:t>
            </w:r>
          </w:p>
        </w:tc>
        <w:tc>
          <w:tcPr>
            <w:tcW w:w="1105" w:type="dxa"/>
            <w:shd w:val="clear" w:color="auto" w:fill="auto"/>
          </w:tcPr>
          <w:p w:rsid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0123" w:rsidRP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52,00</w:t>
            </w:r>
          </w:p>
        </w:tc>
        <w:tc>
          <w:tcPr>
            <w:tcW w:w="1106" w:type="dxa"/>
            <w:shd w:val="clear" w:color="auto" w:fill="auto"/>
          </w:tcPr>
          <w:p w:rsid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0123" w:rsidRP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48,14</w:t>
            </w:r>
          </w:p>
        </w:tc>
      </w:tr>
      <w:tr w:rsidR="003F0123" w:rsidRPr="0011767C" w:rsidTr="003F0123">
        <w:tc>
          <w:tcPr>
            <w:tcW w:w="2830" w:type="dxa"/>
            <w:shd w:val="clear" w:color="auto" w:fill="F2DBDB"/>
          </w:tcPr>
          <w:p w:rsidR="003F0123" w:rsidRPr="003F0123" w:rsidRDefault="003F0123" w:rsidP="003F01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 н</w:t>
            </w:r>
            <w:r w:rsidRPr="003F0123">
              <w:rPr>
                <w:rFonts w:ascii="Times New Roman" w:hAnsi="Times New Roman"/>
                <w:b/>
                <w:sz w:val="28"/>
                <w:szCs w:val="28"/>
              </w:rPr>
              <w:t>енасильственн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ойсмерти</w:t>
            </w:r>
          </w:p>
        </w:tc>
        <w:tc>
          <w:tcPr>
            <w:tcW w:w="1105" w:type="dxa"/>
            <w:shd w:val="clear" w:color="auto" w:fill="auto"/>
          </w:tcPr>
          <w:p w:rsid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0123" w:rsidRPr="003F0123" w:rsidRDefault="009E433E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22,12</w:t>
            </w:r>
          </w:p>
        </w:tc>
        <w:tc>
          <w:tcPr>
            <w:tcW w:w="1106" w:type="dxa"/>
            <w:shd w:val="clear" w:color="auto" w:fill="auto"/>
          </w:tcPr>
          <w:p w:rsid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0123" w:rsidRPr="003F0123" w:rsidRDefault="009E433E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17,17</w:t>
            </w:r>
          </w:p>
        </w:tc>
        <w:tc>
          <w:tcPr>
            <w:tcW w:w="1105" w:type="dxa"/>
            <w:shd w:val="clear" w:color="auto" w:fill="auto"/>
          </w:tcPr>
          <w:p w:rsid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0123" w:rsidRPr="003F0123" w:rsidRDefault="009E433E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20,70</w:t>
            </w:r>
          </w:p>
        </w:tc>
        <w:tc>
          <w:tcPr>
            <w:tcW w:w="1106" w:type="dxa"/>
            <w:shd w:val="clear" w:color="auto" w:fill="auto"/>
          </w:tcPr>
          <w:p w:rsid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0123" w:rsidRPr="003F0123" w:rsidRDefault="009E433E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15,18</w:t>
            </w:r>
          </w:p>
        </w:tc>
        <w:tc>
          <w:tcPr>
            <w:tcW w:w="1105" w:type="dxa"/>
            <w:shd w:val="clear" w:color="auto" w:fill="auto"/>
          </w:tcPr>
          <w:p w:rsid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0123" w:rsidRPr="003F0123" w:rsidRDefault="009E433E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12,63</w:t>
            </w:r>
          </w:p>
        </w:tc>
        <w:tc>
          <w:tcPr>
            <w:tcW w:w="1106" w:type="dxa"/>
            <w:shd w:val="clear" w:color="auto" w:fill="auto"/>
          </w:tcPr>
          <w:p w:rsidR="003F0123" w:rsidRDefault="003F0123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0123" w:rsidRPr="003F0123" w:rsidRDefault="009E433E" w:rsidP="003F0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8,86</w:t>
            </w:r>
          </w:p>
        </w:tc>
      </w:tr>
    </w:tbl>
    <w:p w:rsidR="00975B18" w:rsidRPr="001568DB" w:rsidRDefault="00975B18" w:rsidP="00975B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9C6" w:rsidRDefault="004A09C6" w:rsidP="00626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анализе статистических данных </w:t>
      </w:r>
      <w:proofErr w:type="spellStart"/>
      <w:r w:rsidRPr="004A09C6">
        <w:rPr>
          <w:rFonts w:ascii="Times New Roman" w:hAnsi="Times New Roman" w:cs="Times New Roman"/>
          <w:color w:val="000000"/>
          <w:sz w:val="28"/>
          <w:szCs w:val="28"/>
        </w:rPr>
        <w:t>бюро</w:t>
      </w:r>
      <w:r w:rsidR="009E433E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9E433E">
        <w:rPr>
          <w:rFonts w:ascii="Times New Roman" w:hAnsi="Times New Roman" w:cs="Times New Roman"/>
          <w:color w:val="000000"/>
          <w:sz w:val="28"/>
          <w:szCs w:val="28"/>
        </w:rPr>
        <w:t xml:space="preserve"> период 2012-2017 г.г. </w:t>
      </w:r>
      <w:r w:rsidRPr="004A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долю отравлений алкоголем в среднем приходится 50</w:t>
      </w:r>
      <w:r w:rsidR="009E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,80</w:t>
      </w:r>
      <w:r w:rsidRPr="004A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всех смертельных отравлений</w:t>
      </w:r>
      <w:r w:rsidR="00976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наблюдается незначительное снижение числа отравлений им (с 1034 случаев в 2015 г. до 672 случаев в 2017 г., </w:t>
      </w:r>
      <w:r w:rsidR="0016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1,5 раза)</w:t>
      </w:r>
      <w:r w:rsidR="003F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долю отравлений «суррогатами алкоголя» </w:t>
      </w:r>
      <w:r w:rsidR="009E433E" w:rsidRPr="001568D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F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</w:t>
      </w:r>
      <w:r w:rsidR="009E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F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6%</w:t>
      </w:r>
      <w:r w:rsidR="0042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(таблица 2).</w:t>
      </w:r>
    </w:p>
    <w:p w:rsidR="001F2029" w:rsidRDefault="00A21E09" w:rsidP="001F2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  <w:r w:rsidR="00421FD7">
        <w:rPr>
          <w:rFonts w:ascii="Times New Roman" w:hAnsi="Times New Roman"/>
          <w:sz w:val="24"/>
          <w:szCs w:val="24"/>
        </w:rPr>
        <w:t xml:space="preserve">. Соотношение отравлений алкоголем и «суррогатами алкоголя» </w:t>
      </w:r>
      <w:r w:rsidR="001F2029">
        <w:rPr>
          <w:rFonts w:ascii="Times New Roman" w:hAnsi="Times New Roman"/>
          <w:sz w:val="24"/>
          <w:szCs w:val="24"/>
        </w:rPr>
        <w:t xml:space="preserve">в структуре насильственной смерти </w:t>
      </w:r>
      <w:r w:rsidR="00421FD7">
        <w:rPr>
          <w:rFonts w:ascii="Times New Roman" w:hAnsi="Times New Roman"/>
          <w:sz w:val="24"/>
          <w:szCs w:val="24"/>
        </w:rPr>
        <w:t xml:space="preserve">за период 2012-2017 г.г. по данным ГБУЗ СО «БСМЭ» </w:t>
      </w:r>
    </w:p>
    <w:p w:rsidR="0081413E" w:rsidRPr="0081413E" w:rsidRDefault="001F2029" w:rsidP="00814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6652">
        <w:rPr>
          <w:noProof/>
          <w:lang w:eastAsia="ru-RU"/>
        </w:rPr>
        <w:drawing>
          <wp:inline distT="0" distB="0" distL="0" distR="0">
            <wp:extent cx="5467350" cy="3429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3E" w:rsidRPr="00A63AE1" w:rsidRDefault="009767FE" w:rsidP="008141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 w:rsidR="0081413E" w:rsidRPr="001568DB">
        <w:rPr>
          <w:rFonts w:ascii="Times New Roman" w:hAnsi="Times New Roman" w:cs="Times New Roman"/>
          <w:color w:val="000000"/>
          <w:sz w:val="28"/>
          <w:szCs w:val="28"/>
        </w:rPr>
        <w:t xml:space="preserve">оличество отравлений органическими растворителями и техническими жидкостями, принимаемыми внутрь в качестве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1413E" w:rsidRPr="001568DB">
        <w:rPr>
          <w:rFonts w:ascii="Times New Roman" w:hAnsi="Times New Roman" w:cs="Times New Roman"/>
          <w:color w:val="000000"/>
          <w:sz w:val="28"/>
          <w:szCs w:val="28"/>
        </w:rPr>
        <w:t>суррогатов алкоголя</w:t>
      </w:r>
      <w:r>
        <w:rPr>
          <w:rFonts w:ascii="Times New Roman" w:hAnsi="Times New Roman" w:cs="Times New Roman"/>
          <w:color w:val="000000"/>
          <w:sz w:val="28"/>
          <w:szCs w:val="28"/>
        </w:rPr>
        <w:t>», остае</w:t>
      </w:r>
      <w:r w:rsidR="004A230F">
        <w:rPr>
          <w:rFonts w:ascii="Times New Roman" w:hAnsi="Times New Roman" w:cs="Times New Roman"/>
          <w:color w:val="000000"/>
          <w:sz w:val="28"/>
          <w:szCs w:val="28"/>
        </w:rPr>
        <w:t>тся стабильным – по 58-62 случаев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год</w:t>
      </w:r>
      <w:r w:rsidR="0081413E" w:rsidRPr="001568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413E" w:rsidRPr="001568D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F2029" w:rsidRPr="001F2029" w:rsidRDefault="00421FD7" w:rsidP="008141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г. доля смертельных отравлений алкоголем составила 40,46% </w:t>
      </w:r>
      <w:r w:rsidRPr="004A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смертельных отравлений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доля отравлений «суррогатами алкоголя» - 3,50% (диаграмма </w:t>
      </w:r>
      <w:r w:rsidR="004A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E3C3C" w:rsidRPr="004A09C6" w:rsidRDefault="00A21E09" w:rsidP="004A0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1</w:t>
      </w:r>
      <w:r w:rsidR="004A09C6">
        <w:rPr>
          <w:rFonts w:ascii="Times New Roman" w:hAnsi="Times New Roman"/>
          <w:sz w:val="24"/>
          <w:szCs w:val="24"/>
        </w:rPr>
        <w:t xml:space="preserve">. </w:t>
      </w:r>
      <w:r w:rsidR="00975B18">
        <w:rPr>
          <w:rFonts w:ascii="Times New Roman" w:hAnsi="Times New Roman"/>
          <w:sz w:val="24"/>
          <w:szCs w:val="24"/>
        </w:rPr>
        <w:t>Структура отравлений в 2017 г. по данным ГБУЗ СО «БСМЭ»</w:t>
      </w:r>
    </w:p>
    <w:p w:rsidR="0081413E" w:rsidRPr="0081413E" w:rsidRDefault="004A09C6" w:rsidP="008141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33E">
        <w:rPr>
          <w:noProof/>
          <w:lang w:eastAsia="ru-RU"/>
        </w:rPr>
        <w:drawing>
          <wp:inline distT="0" distB="0" distL="0" distR="0">
            <wp:extent cx="5753100" cy="32670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A1D67" w:rsidRDefault="00E33566" w:rsidP="008141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CD2">
        <w:rPr>
          <w:rFonts w:ascii="Times New Roman" w:hAnsi="Times New Roman"/>
          <w:sz w:val="28"/>
          <w:szCs w:val="28"/>
        </w:rPr>
        <w:t xml:space="preserve">На сегодняшний день ключевым моментом диагностики смертельных отравлений </w:t>
      </w:r>
      <w:r w:rsidR="00A63AE1">
        <w:rPr>
          <w:rFonts w:ascii="Times New Roman" w:hAnsi="Times New Roman"/>
          <w:sz w:val="28"/>
          <w:szCs w:val="28"/>
        </w:rPr>
        <w:t>спиртосодержащими и техническими жидкостями</w:t>
      </w:r>
      <w:r w:rsidRPr="00D24CD2">
        <w:rPr>
          <w:rFonts w:ascii="Times New Roman" w:hAnsi="Times New Roman"/>
          <w:sz w:val="28"/>
          <w:szCs w:val="28"/>
        </w:rPr>
        <w:t xml:space="preserve">остается результат судебно-химического </w:t>
      </w:r>
      <w:r w:rsidR="007D2185">
        <w:rPr>
          <w:rFonts w:ascii="Times New Roman" w:hAnsi="Times New Roman"/>
          <w:sz w:val="28"/>
          <w:szCs w:val="28"/>
        </w:rPr>
        <w:t>исследования</w:t>
      </w:r>
      <w:r w:rsidRPr="00D24CD2">
        <w:rPr>
          <w:rFonts w:ascii="Times New Roman" w:hAnsi="Times New Roman"/>
          <w:sz w:val="28"/>
          <w:szCs w:val="28"/>
        </w:rPr>
        <w:t xml:space="preserve"> этих веществ и продуктов их метаболизма в тканях</w:t>
      </w:r>
      <w:r>
        <w:rPr>
          <w:rFonts w:ascii="Times New Roman" w:hAnsi="Times New Roman"/>
          <w:sz w:val="28"/>
          <w:szCs w:val="28"/>
        </w:rPr>
        <w:t>,</w:t>
      </w:r>
      <w:r w:rsidRPr="00D24CD2">
        <w:rPr>
          <w:rFonts w:ascii="Times New Roman" w:hAnsi="Times New Roman"/>
          <w:sz w:val="28"/>
          <w:szCs w:val="28"/>
        </w:rPr>
        <w:t xml:space="preserve"> органах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24CD2">
        <w:rPr>
          <w:rFonts w:ascii="Times New Roman" w:hAnsi="Times New Roman"/>
          <w:sz w:val="28"/>
          <w:szCs w:val="28"/>
        </w:rPr>
        <w:t xml:space="preserve">биологических жидкостях. </w:t>
      </w:r>
      <w:r w:rsidR="007D2185" w:rsidRPr="00A12419">
        <w:rPr>
          <w:rFonts w:ascii="Times New Roman" w:hAnsi="Times New Roman"/>
          <w:sz w:val="28"/>
          <w:szCs w:val="28"/>
        </w:rPr>
        <w:t>При анализе объема проведенных в 2009-201</w:t>
      </w:r>
      <w:r w:rsidR="007D2185">
        <w:rPr>
          <w:rFonts w:ascii="Times New Roman" w:hAnsi="Times New Roman"/>
          <w:sz w:val="28"/>
          <w:szCs w:val="28"/>
        </w:rPr>
        <w:t>7</w:t>
      </w:r>
      <w:r w:rsidR="007D2185" w:rsidRPr="00A12419">
        <w:rPr>
          <w:rFonts w:ascii="Times New Roman" w:hAnsi="Times New Roman"/>
          <w:sz w:val="28"/>
          <w:szCs w:val="28"/>
        </w:rPr>
        <w:t>г.г. судебно-химических исследований  виден ежегодный рост общего коли</w:t>
      </w:r>
      <w:r w:rsidR="007D2185">
        <w:rPr>
          <w:rFonts w:ascii="Times New Roman" w:hAnsi="Times New Roman"/>
          <w:sz w:val="28"/>
          <w:szCs w:val="28"/>
        </w:rPr>
        <w:t>чества исследований (экспертиз) по определению этилового спирта (диаграмма 2)</w:t>
      </w:r>
      <w:proofErr w:type="gramStart"/>
      <w:r w:rsidR="007D2185">
        <w:rPr>
          <w:rFonts w:ascii="Times New Roman" w:hAnsi="Times New Roman"/>
          <w:sz w:val="28"/>
          <w:szCs w:val="28"/>
        </w:rPr>
        <w:t>.</w:t>
      </w:r>
      <w:r w:rsidR="004A09C6" w:rsidRPr="00A12419">
        <w:rPr>
          <w:rFonts w:ascii="Times New Roman" w:hAnsi="Times New Roman"/>
          <w:sz w:val="28"/>
          <w:szCs w:val="28"/>
        </w:rPr>
        <w:t>Следует отметить, что введение в действие в 2010 году приказа № 346н от 12 мая 2010 г.  «Об утверждении порядка организации и производства судебно-медицинских</w:t>
      </w:r>
      <w:r w:rsidR="004A09C6">
        <w:rPr>
          <w:rFonts w:ascii="Times New Roman" w:hAnsi="Times New Roman"/>
          <w:sz w:val="28"/>
          <w:szCs w:val="28"/>
        </w:rPr>
        <w:t xml:space="preserve"> экспертиз</w:t>
      </w:r>
      <w:r w:rsidR="004A09C6" w:rsidRPr="00A12419">
        <w:rPr>
          <w:rFonts w:ascii="Times New Roman" w:hAnsi="Times New Roman"/>
          <w:sz w:val="28"/>
          <w:szCs w:val="28"/>
        </w:rPr>
        <w:t xml:space="preserve"> в государственных судебно-экспертных учреждениях Российской Федерации»,  в соответствии с которым на судебно-химическое исследование в обязательном порядке должны направляться биологические жидкости для </w:t>
      </w:r>
      <w:r w:rsidR="004A09C6" w:rsidRPr="00A12419">
        <w:rPr>
          <w:rFonts w:ascii="Times New Roman" w:hAnsi="Times New Roman"/>
          <w:sz w:val="28"/>
          <w:szCs w:val="28"/>
        </w:rPr>
        <w:lastRenderedPageBreak/>
        <w:t>определения наличия и количественного содержания этанола во всех случаях насильственной смерти, а также ненасильственной смерти</w:t>
      </w:r>
      <w:proofErr w:type="gramEnd"/>
      <w:r w:rsidR="004A09C6" w:rsidRPr="00A12419">
        <w:rPr>
          <w:rFonts w:ascii="Times New Roman" w:hAnsi="Times New Roman"/>
          <w:sz w:val="28"/>
          <w:szCs w:val="28"/>
        </w:rPr>
        <w:t xml:space="preserve">, за исключением случаев смерти взрослых лиц, длительно (более 36 часов) находившихся в стационаре, объясняет заметное </w:t>
      </w:r>
      <w:r w:rsidR="004A09C6" w:rsidRPr="00A63AE1">
        <w:rPr>
          <w:rFonts w:ascii="Times New Roman" w:hAnsi="Times New Roman"/>
          <w:sz w:val="28"/>
          <w:szCs w:val="28"/>
        </w:rPr>
        <w:t>ежегодное увеличение количества  исследований по определению этилового спирта</w:t>
      </w:r>
      <w:r w:rsidR="004A09C6">
        <w:rPr>
          <w:rFonts w:ascii="Times New Roman" w:hAnsi="Times New Roman"/>
          <w:sz w:val="28"/>
          <w:szCs w:val="28"/>
        </w:rPr>
        <w:t xml:space="preserve"> (увеличение в 1,8 раз в 2017 г. по сравнению с 2010 г.)</w:t>
      </w:r>
      <w:r w:rsidR="004A09C6" w:rsidRPr="00A63AE1">
        <w:rPr>
          <w:rFonts w:ascii="Times New Roman" w:hAnsi="Times New Roman"/>
          <w:sz w:val="28"/>
          <w:szCs w:val="28"/>
        </w:rPr>
        <w:t>.</w:t>
      </w:r>
    </w:p>
    <w:p w:rsidR="00A63AE1" w:rsidRPr="00CA1D67" w:rsidRDefault="00CA1D67" w:rsidP="004A0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Диаграмма 2. Количество судебно-химических исследований по определению этилового </w:t>
      </w:r>
      <w:proofErr w:type="spellStart"/>
      <w:r>
        <w:rPr>
          <w:rFonts w:ascii="Times New Roman" w:hAnsi="Times New Roman"/>
          <w:sz w:val="24"/>
          <w:szCs w:val="24"/>
        </w:rPr>
        <w:t>спирта</w:t>
      </w:r>
      <w:r w:rsidR="004A230F">
        <w:rPr>
          <w:rFonts w:ascii="Times New Roman" w:hAnsi="Times New Roman"/>
          <w:sz w:val="24"/>
          <w:szCs w:val="24"/>
        </w:rPr>
        <w:t>за</w:t>
      </w:r>
      <w:proofErr w:type="spellEnd"/>
      <w:r w:rsidR="004A230F">
        <w:rPr>
          <w:rFonts w:ascii="Times New Roman" w:hAnsi="Times New Roman"/>
          <w:sz w:val="24"/>
          <w:szCs w:val="24"/>
        </w:rPr>
        <w:t xml:space="preserve"> период 2009-2017 г.г.</w:t>
      </w:r>
    </w:p>
    <w:p w:rsidR="007D2185" w:rsidRDefault="00CA1D67" w:rsidP="004A09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1D6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0225" cy="2819400"/>
            <wp:effectExtent l="38100" t="38100" r="28575" b="762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656D" w:rsidRDefault="00E33566" w:rsidP="00FD6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E1">
        <w:rPr>
          <w:rFonts w:ascii="Times New Roman" w:hAnsi="Times New Roman"/>
          <w:sz w:val="28"/>
          <w:szCs w:val="28"/>
        </w:rPr>
        <w:t>Этим же объясняется и ежегодное снижение процента исследований, при которых обнар</w:t>
      </w:r>
      <w:r w:rsidR="00C96424">
        <w:rPr>
          <w:rFonts w:ascii="Times New Roman" w:hAnsi="Times New Roman"/>
          <w:sz w:val="28"/>
          <w:szCs w:val="28"/>
        </w:rPr>
        <w:t>уживается этиловый спирт (с 55</w:t>
      </w:r>
      <w:r w:rsidRPr="00A63AE1">
        <w:rPr>
          <w:rFonts w:ascii="Times New Roman" w:hAnsi="Times New Roman"/>
          <w:sz w:val="28"/>
          <w:szCs w:val="28"/>
        </w:rPr>
        <w:t xml:space="preserve">% в 2009 г. до </w:t>
      </w:r>
      <w:r w:rsidR="00C96424">
        <w:rPr>
          <w:rFonts w:ascii="Times New Roman" w:hAnsi="Times New Roman"/>
          <w:sz w:val="28"/>
          <w:szCs w:val="28"/>
        </w:rPr>
        <w:t>23</w:t>
      </w:r>
      <w:r w:rsidRPr="00A63AE1">
        <w:rPr>
          <w:rFonts w:ascii="Times New Roman" w:hAnsi="Times New Roman"/>
          <w:sz w:val="28"/>
          <w:szCs w:val="28"/>
        </w:rPr>
        <w:t>% в 201</w:t>
      </w:r>
      <w:r w:rsidR="00C96424">
        <w:rPr>
          <w:rFonts w:ascii="Times New Roman" w:hAnsi="Times New Roman"/>
          <w:sz w:val="28"/>
          <w:szCs w:val="28"/>
        </w:rPr>
        <w:t>7</w:t>
      </w:r>
      <w:r w:rsidRPr="00A63AE1">
        <w:rPr>
          <w:rFonts w:ascii="Times New Roman" w:hAnsi="Times New Roman"/>
          <w:sz w:val="28"/>
          <w:szCs w:val="28"/>
        </w:rPr>
        <w:t xml:space="preserve"> г.</w:t>
      </w:r>
      <w:r w:rsidR="00C96424">
        <w:rPr>
          <w:rFonts w:ascii="Times New Roman" w:hAnsi="Times New Roman"/>
          <w:sz w:val="28"/>
          <w:szCs w:val="28"/>
        </w:rPr>
        <w:t>, снижение в 2,4 раза</w:t>
      </w:r>
      <w:r w:rsidRPr="00A63AE1">
        <w:rPr>
          <w:rFonts w:ascii="Times New Roman" w:hAnsi="Times New Roman"/>
          <w:sz w:val="28"/>
          <w:szCs w:val="28"/>
        </w:rPr>
        <w:t xml:space="preserve">, таблица </w:t>
      </w:r>
      <w:r w:rsidR="0081413E">
        <w:rPr>
          <w:rFonts w:ascii="Times New Roman" w:hAnsi="Times New Roman"/>
          <w:sz w:val="28"/>
          <w:szCs w:val="28"/>
        </w:rPr>
        <w:t>3</w:t>
      </w:r>
      <w:r w:rsidRPr="00A63AE1">
        <w:rPr>
          <w:rFonts w:ascii="Times New Roman" w:hAnsi="Times New Roman"/>
          <w:sz w:val="28"/>
          <w:szCs w:val="28"/>
        </w:rPr>
        <w:t>).</w:t>
      </w:r>
    </w:p>
    <w:p w:rsidR="00FD656D" w:rsidRDefault="00FD656D" w:rsidP="00FD6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3. Количество положительных исследований (экспертиз) по обнаружению алкоголя и его «суррогатов» за период 2009-2017 г.г. (в процентах)</w:t>
      </w:r>
    </w:p>
    <w:p w:rsidR="00FD656D" w:rsidRDefault="00FD656D" w:rsidP="00FD6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87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FD656D" w:rsidRPr="008D773D" w:rsidTr="00B2060C">
        <w:tc>
          <w:tcPr>
            <w:tcW w:w="2268" w:type="dxa"/>
            <w:shd w:val="clear" w:color="auto" w:fill="FB7B61"/>
          </w:tcPr>
          <w:p w:rsidR="00FD656D" w:rsidRPr="008D773D" w:rsidRDefault="00FD656D" w:rsidP="00B206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73D">
              <w:rPr>
                <w:rFonts w:ascii="Times New Roman" w:hAnsi="Times New Roman"/>
                <w:sz w:val="24"/>
                <w:szCs w:val="24"/>
              </w:rPr>
              <w:t>Токсикант</w:t>
            </w:r>
            <w:proofErr w:type="spellEnd"/>
          </w:p>
        </w:tc>
        <w:tc>
          <w:tcPr>
            <w:tcW w:w="787" w:type="dxa"/>
            <w:shd w:val="clear" w:color="auto" w:fill="FB7B61"/>
          </w:tcPr>
          <w:p w:rsidR="00FD656D" w:rsidRPr="008D773D" w:rsidRDefault="00FD656D" w:rsidP="00B206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D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788" w:type="dxa"/>
            <w:shd w:val="clear" w:color="auto" w:fill="FB7B61"/>
          </w:tcPr>
          <w:p w:rsidR="00FD656D" w:rsidRPr="008D773D" w:rsidRDefault="00FD656D" w:rsidP="00B206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D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787" w:type="dxa"/>
            <w:shd w:val="clear" w:color="auto" w:fill="FB7B61"/>
          </w:tcPr>
          <w:p w:rsidR="00FD656D" w:rsidRPr="008D773D" w:rsidRDefault="00FD656D" w:rsidP="00B206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D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788" w:type="dxa"/>
            <w:shd w:val="clear" w:color="auto" w:fill="FB7B61"/>
          </w:tcPr>
          <w:p w:rsidR="00FD656D" w:rsidRPr="008D773D" w:rsidRDefault="00FD656D" w:rsidP="00B206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D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787" w:type="dxa"/>
            <w:shd w:val="clear" w:color="auto" w:fill="FB7B61"/>
          </w:tcPr>
          <w:p w:rsidR="00FD656D" w:rsidRPr="008D773D" w:rsidRDefault="00FD656D" w:rsidP="00B206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D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788" w:type="dxa"/>
            <w:shd w:val="clear" w:color="auto" w:fill="FB7B61"/>
          </w:tcPr>
          <w:p w:rsidR="00FD656D" w:rsidRPr="008D773D" w:rsidRDefault="00FD656D" w:rsidP="00B206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D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87" w:type="dxa"/>
            <w:shd w:val="clear" w:color="auto" w:fill="FB7B61"/>
          </w:tcPr>
          <w:p w:rsidR="00FD656D" w:rsidRPr="008D773D" w:rsidRDefault="00FD656D" w:rsidP="00B206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88" w:type="dxa"/>
            <w:shd w:val="clear" w:color="auto" w:fill="FB7B61"/>
          </w:tcPr>
          <w:p w:rsidR="00FD656D" w:rsidRPr="008D773D" w:rsidRDefault="00FD656D" w:rsidP="00B206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88" w:type="dxa"/>
            <w:shd w:val="clear" w:color="auto" w:fill="FB7B61"/>
          </w:tcPr>
          <w:p w:rsidR="00FD656D" w:rsidRPr="008D773D" w:rsidRDefault="00FD656D" w:rsidP="00B206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FD656D" w:rsidRPr="008D773D" w:rsidTr="00B2060C">
        <w:tc>
          <w:tcPr>
            <w:tcW w:w="2268" w:type="dxa"/>
            <w:shd w:val="clear" w:color="auto" w:fill="F4F4AC"/>
          </w:tcPr>
          <w:p w:rsidR="00FD656D" w:rsidRPr="008D773D" w:rsidRDefault="00FD656D" w:rsidP="00B206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73D">
              <w:rPr>
                <w:rFonts w:ascii="Times New Roman" w:hAnsi="Times New Roman"/>
                <w:sz w:val="24"/>
                <w:szCs w:val="24"/>
              </w:rPr>
              <w:t>Этиловый спирт</w:t>
            </w:r>
          </w:p>
        </w:tc>
        <w:tc>
          <w:tcPr>
            <w:tcW w:w="787" w:type="dxa"/>
            <w:shd w:val="clear" w:color="auto" w:fill="auto"/>
          </w:tcPr>
          <w:p w:rsidR="00FD656D" w:rsidRPr="008D773D" w:rsidRDefault="00FD656D" w:rsidP="00B206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D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88" w:type="dxa"/>
            <w:shd w:val="clear" w:color="auto" w:fill="auto"/>
          </w:tcPr>
          <w:p w:rsidR="00FD656D" w:rsidRPr="008D773D" w:rsidRDefault="00FD656D" w:rsidP="00B206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D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787" w:type="dxa"/>
            <w:shd w:val="clear" w:color="auto" w:fill="auto"/>
          </w:tcPr>
          <w:p w:rsidR="00FD656D" w:rsidRPr="008D773D" w:rsidRDefault="00FD656D" w:rsidP="00B206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D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788" w:type="dxa"/>
            <w:shd w:val="clear" w:color="auto" w:fill="auto"/>
          </w:tcPr>
          <w:p w:rsidR="00FD656D" w:rsidRPr="008D773D" w:rsidRDefault="00FD656D" w:rsidP="00B206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D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787" w:type="dxa"/>
            <w:shd w:val="clear" w:color="auto" w:fill="auto"/>
          </w:tcPr>
          <w:p w:rsidR="00FD656D" w:rsidRPr="008D773D" w:rsidRDefault="00FD656D" w:rsidP="00B206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D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788" w:type="dxa"/>
            <w:shd w:val="clear" w:color="auto" w:fill="auto"/>
          </w:tcPr>
          <w:p w:rsidR="00FD656D" w:rsidRPr="008D773D" w:rsidRDefault="00FD656D" w:rsidP="00B206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D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787" w:type="dxa"/>
          </w:tcPr>
          <w:p w:rsidR="00FD656D" w:rsidRPr="008D773D" w:rsidRDefault="00FD656D" w:rsidP="00B206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788" w:type="dxa"/>
          </w:tcPr>
          <w:p w:rsidR="00FD656D" w:rsidRPr="008D773D" w:rsidRDefault="00FD656D" w:rsidP="00B206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788" w:type="dxa"/>
          </w:tcPr>
          <w:p w:rsidR="00FD656D" w:rsidRPr="008D773D" w:rsidRDefault="00FD656D" w:rsidP="00B206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FD656D" w:rsidRPr="008D773D" w:rsidTr="00B2060C">
        <w:tc>
          <w:tcPr>
            <w:tcW w:w="2268" w:type="dxa"/>
            <w:shd w:val="clear" w:color="auto" w:fill="F4F4AC"/>
          </w:tcPr>
          <w:p w:rsidR="00FD656D" w:rsidRPr="008D773D" w:rsidRDefault="00FD656D" w:rsidP="00B20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ж-с</w:t>
            </w:r>
            <w:r w:rsidRPr="008D773D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8D773D">
              <w:rPr>
                <w:rFonts w:ascii="Times New Roman" w:hAnsi="Times New Roman"/>
                <w:sz w:val="24"/>
                <w:szCs w:val="24"/>
              </w:rPr>
              <w:t>, растворители</w:t>
            </w:r>
          </w:p>
        </w:tc>
        <w:tc>
          <w:tcPr>
            <w:tcW w:w="787" w:type="dxa"/>
            <w:shd w:val="clear" w:color="auto" w:fill="auto"/>
          </w:tcPr>
          <w:p w:rsidR="00FD656D" w:rsidRDefault="00FD656D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56D" w:rsidRPr="008D773D" w:rsidRDefault="00FD656D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788" w:type="dxa"/>
            <w:shd w:val="clear" w:color="auto" w:fill="auto"/>
          </w:tcPr>
          <w:p w:rsidR="00FD656D" w:rsidRDefault="00FD656D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56D" w:rsidRPr="008D773D" w:rsidRDefault="00FD656D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D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787" w:type="dxa"/>
            <w:shd w:val="clear" w:color="auto" w:fill="auto"/>
          </w:tcPr>
          <w:p w:rsidR="00FD656D" w:rsidRDefault="00FD656D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56D" w:rsidRPr="008D773D" w:rsidRDefault="00FD656D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D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788" w:type="dxa"/>
            <w:shd w:val="clear" w:color="auto" w:fill="auto"/>
          </w:tcPr>
          <w:p w:rsidR="00FD656D" w:rsidRDefault="00FD656D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56D" w:rsidRPr="008D773D" w:rsidRDefault="00FD656D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D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787" w:type="dxa"/>
            <w:shd w:val="clear" w:color="auto" w:fill="auto"/>
          </w:tcPr>
          <w:p w:rsidR="00FD656D" w:rsidRDefault="00FD656D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56D" w:rsidRPr="008D773D" w:rsidRDefault="00FD656D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D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788" w:type="dxa"/>
            <w:shd w:val="clear" w:color="auto" w:fill="auto"/>
          </w:tcPr>
          <w:p w:rsidR="00FD656D" w:rsidRDefault="00FD656D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56D" w:rsidRPr="008D773D" w:rsidRDefault="00FD656D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73D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787" w:type="dxa"/>
          </w:tcPr>
          <w:p w:rsidR="00FD656D" w:rsidRDefault="00FD656D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56D" w:rsidRPr="008D773D" w:rsidRDefault="00FD656D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88" w:type="dxa"/>
          </w:tcPr>
          <w:p w:rsidR="00FD656D" w:rsidRDefault="00FD656D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56D" w:rsidRPr="008D773D" w:rsidRDefault="00FD656D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788" w:type="dxa"/>
          </w:tcPr>
          <w:p w:rsidR="00FD656D" w:rsidRDefault="00FD656D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56D" w:rsidRPr="008D773D" w:rsidRDefault="00FD656D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</w:tr>
    </w:tbl>
    <w:p w:rsidR="00FD656D" w:rsidRDefault="00FD656D" w:rsidP="00FD6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24" w:rsidRPr="00B60EEA" w:rsidRDefault="00C96424" w:rsidP="00C964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419">
        <w:rPr>
          <w:rFonts w:ascii="Times New Roman" w:hAnsi="Times New Roman"/>
          <w:sz w:val="28"/>
          <w:szCs w:val="28"/>
        </w:rPr>
        <w:t xml:space="preserve">Показатель количества исследований на </w:t>
      </w:r>
      <w:r>
        <w:rPr>
          <w:rFonts w:ascii="Times New Roman" w:hAnsi="Times New Roman"/>
          <w:sz w:val="28"/>
          <w:szCs w:val="28"/>
        </w:rPr>
        <w:t>«суррогаты алкоголя» (</w:t>
      </w:r>
      <w:r w:rsidRPr="00A12419">
        <w:rPr>
          <w:rFonts w:ascii="Times New Roman" w:hAnsi="Times New Roman"/>
          <w:sz w:val="28"/>
          <w:szCs w:val="28"/>
        </w:rPr>
        <w:t>технические жидкости и растворители</w:t>
      </w:r>
      <w:r>
        <w:rPr>
          <w:rFonts w:ascii="Times New Roman" w:hAnsi="Times New Roman"/>
          <w:sz w:val="28"/>
          <w:szCs w:val="28"/>
        </w:rPr>
        <w:t>) за последние 4 года колеблется</w:t>
      </w:r>
      <w:r w:rsidRPr="00A12419">
        <w:rPr>
          <w:rFonts w:ascii="Times New Roman" w:hAnsi="Times New Roman"/>
          <w:sz w:val="28"/>
          <w:szCs w:val="28"/>
        </w:rPr>
        <w:t xml:space="preserve"> незначительно и в среднем составляет </w:t>
      </w:r>
      <w:r>
        <w:rPr>
          <w:rFonts w:ascii="Times New Roman" w:hAnsi="Times New Roman"/>
          <w:sz w:val="28"/>
          <w:szCs w:val="28"/>
        </w:rPr>
        <w:t>451</w:t>
      </w:r>
      <w:r w:rsidRPr="00A1241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сследование</w:t>
      </w:r>
      <w:r w:rsidRPr="00A12419">
        <w:rPr>
          <w:rFonts w:ascii="Times New Roman" w:hAnsi="Times New Roman"/>
          <w:sz w:val="28"/>
          <w:szCs w:val="28"/>
        </w:rPr>
        <w:t xml:space="preserve"> в год, наи</w:t>
      </w:r>
      <w:r>
        <w:rPr>
          <w:rFonts w:ascii="Times New Roman" w:hAnsi="Times New Roman"/>
          <w:sz w:val="28"/>
          <w:szCs w:val="28"/>
        </w:rPr>
        <w:t xml:space="preserve">более высоким он был в 2010 г. </w:t>
      </w:r>
      <w:r w:rsidRPr="00A1241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596 исследований, а наиболее низким </w:t>
      </w:r>
      <w:r w:rsidRPr="00A12419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 xml:space="preserve">6 г. </w:t>
      </w:r>
      <w:r w:rsidRPr="00A1241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lastRenderedPageBreak/>
        <w:t xml:space="preserve">333 исследования, снижение составило 1,8 </w:t>
      </w:r>
      <w:r w:rsidRPr="00B60EEA">
        <w:rPr>
          <w:rFonts w:ascii="Times New Roman" w:hAnsi="Times New Roman"/>
          <w:sz w:val="28"/>
          <w:szCs w:val="28"/>
        </w:rPr>
        <w:t xml:space="preserve">раз (диаграмма 3); хотя процент положительных исследований на «суррогаты алкоголя» (технические жидкости и растворители) в анализируемый период 2009-2017 г.г. был относительно высокий – средний показатель </w:t>
      </w:r>
      <w:r w:rsidR="00B60EEA" w:rsidRPr="00B60EEA">
        <w:rPr>
          <w:rFonts w:ascii="Times New Roman" w:hAnsi="Times New Roman"/>
          <w:sz w:val="28"/>
          <w:szCs w:val="28"/>
        </w:rPr>
        <w:t>58,7</w:t>
      </w:r>
      <w:r w:rsidRPr="00B60EEA">
        <w:rPr>
          <w:rFonts w:ascii="Times New Roman" w:hAnsi="Times New Roman"/>
          <w:sz w:val="28"/>
          <w:szCs w:val="28"/>
        </w:rPr>
        <w:t>% (таблица 3).</w:t>
      </w:r>
    </w:p>
    <w:p w:rsidR="00FD656D" w:rsidRPr="00C96424" w:rsidRDefault="00C96424" w:rsidP="00C96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3. Количество судебно-химических исследований по определению «суррогатов алкоголя» (технических жидкостей и растворителей)</w:t>
      </w:r>
    </w:p>
    <w:p w:rsidR="00FD656D" w:rsidRDefault="00FD656D" w:rsidP="00000B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0993">
        <w:rPr>
          <w:noProof/>
          <w:lang w:eastAsia="ru-RU"/>
        </w:rPr>
        <w:drawing>
          <wp:inline distT="0" distB="0" distL="0" distR="0">
            <wp:extent cx="5353050" cy="2562225"/>
            <wp:effectExtent l="38100" t="38100" r="38100" b="6667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656D" w:rsidRPr="005C2C81" w:rsidRDefault="00FD656D" w:rsidP="00FD6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419">
        <w:rPr>
          <w:rFonts w:ascii="Times New Roman" w:hAnsi="Times New Roman"/>
          <w:sz w:val="28"/>
          <w:szCs w:val="28"/>
        </w:rPr>
        <w:t xml:space="preserve">В таблице </w:t>
      </w:r>
      <w:r w:rsidR="00000B28">
        <w:rPr>
          <w:rFonts w:ascii="Times New Roman" w:hAnsi="Times New Roman"/>
          <w:sz w:val="28"/>
          <w:szCs w:val="28"/>
        </w:rPr>
        <w:t>4</w:t>
      </w:r>
      <w:r w:rsidRPr="00A12419">
        <w:rPr>
          <w:rFonts w:ascii="Times New Roman" w:hAnsi="Times New Roman"/>
          <w:sz w:val="28"/>
          <w:szCs w:val="28"/>
        </w:rPr>
        <w:t xml:space="preserve"> представлен перечень основных веществ из группы «технические жидкости и растворители», которые были обнаружены при судебно-химическом исследовании за анализируемый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FD656D" w:rsidRDefault="00FD656D" w:rsidP="00FD6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C964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Структура обнаруживаемых при судебно-химическом исследовании технических жидкостей и растворителей за период 2012-2017 г.г.</w:t>
      </w:r>
    </w:p>
    <w:p w:rsidR="00FD656D" w:rsidRDefault="00FD656D" w:rsidP="00FD6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0"/>
        <w:gridCol w:w="1205"/>
        <w:gridCol w:w="1206"/>
        <w:gridCol w:w="1205"/>
        <w:gridCol w:w="1206"/>
        <w:gridCol w:w="1205"/>
        <w:gridCol w:w="1206"/>
      </w:tblGrid>
      <w:tr w:rsidR="00FD656D" w:rsidRPr="008D773D" w:rsidTr="00B60EEA">
        <w:tc>
          <w:tcPr>
            <w:tcW w:w="2230" w:type="dxa"/>
            <w:shd w:val="clear" w:color="auto" w:fill="B8CCE4"/>
          </w:tcPr>
          <w:p w:rsidR="00FD656D" w:rsidRPr="008D773D" w:rsidRDefault="00FD656D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73D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8D773D">
              <w:rPr>
                <w:rFonts w:ascii="Times New Roman" w:hAnsi="Times New Roman"/>
                <w:sz w:val="24"/>
                <w:szCs w:val="24"/>
              </w:rPr>
              <w:t>. жидкость</w:t>
            </w:r>
          </w:p>
        </w:tc>
        <w:tc>
          <w:tcPr>
            <w:tcW w:w="1205" w:type="dxa"/>
            <w:shd w:val="clear" w:color="auto" w:fill="B8CCE4"/>
          </w:tcPr>
          <w:p w:rsidR="00FD656D" w:rsidRPr="008D773D" w:rsidRDefault="00B60EEA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206" w:type="dxa"/>
            <w:shd w:val="clear" w:color="auto" w:fill="B8CCE4"/>
          </w:tcPr>
          <w:p w:rsidR="00FD656D" w:rsidRPr="008D773D" w:rsidRDefault="00B60EEA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05" w:type="dxa"/>
            <w:shd w:val="clear" w:color="auto" w:fill="B8CCE4"/>
          </w:tcPr>
          <w:p w:rsidR="00FD656D" w:rsidRPr="008D773D" w:rsidRDefault="00B60EEA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06" w:type="dxa"/>
            <w:shd w:val="clear" w:color="auto" w:fill="B8CCE4"/>
          </w:tcPr>
          <w:p w:rsidR="00FD656D" w:rsidRPr="008D773D" w:rsidRDefault="00B60EEA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05" w:type="dxa"/>
            <w:shd w:val="clear" w:color="auto" w:fill="B8CCE4"/>
          </w:tcPr>
          <w:p w:rsidR="00FD656D" w:rsidRPr="008D773D" w:rsidRDefault="00B60EEA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06" w:type="dxa"/>
            <w:shd w:val="clear" w:color="auto" w:fill="B8CCE4"/>
          </w:tcPr>
          <w:p w:rsidR="00FD656D" w:rsidRPr="008D773D" w:rsidRDefault="00B60EEA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000B28" w:rsidRPr="008D773D" w:rsidTr="00B60EEA">
        <w:tc>
          <w:tcPr>
            <w:tcW w:w="2230" w:type="dxa"/>
            <w:shd w:val="clear" w:color="auto" w:fill="F2DBDB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Ацетон*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</w:t>
            </w:r>
          </w:p>
        </w:tc>
      </w:tr>
      <w:tr w:rsidR="00000B28" w:rsidRPr="008D773D" w:rsidTr="00B60EEA">
        <w:tc>
          <w:tcPr>
            <w:tcW w:w="2230" w:type="dxa"/>
            <w:shd w:val="clear" w:color="auto" w:fill="F2DBDB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Метанол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000B28" w:rsidRPr="008D773D" w:rsidTr="00B60EEA">
        <w:tc>
          <w:tcPr>
            <w:tcW w:w="2230" w:type="dxa"/>
            <w:shd w:val="clear" w:color="auto" w:fill="F2DBDB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Пропиловые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00B28" w:rsidRPr="008D773D" w:rsidTr="00B60EEA">
        <w:tc>
          <w:tcPr>
            <w:tcW w:w="2230" w:type="dxa"/>
            <w:shd w:val="clear" w:color="auto" w:fill="F2DBDB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Бутиловые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00B28" w:rsidRPr="008D773D" w:rsidTr="00B60EEA">
        <w:tc>
          <w:tcPr>
            <w:tcW w:w="2230" w:type="dxa"/>
            <w:shd w:val="clear" w:color="auto" w:fill="F2DBDB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Изоамиловый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00B28" w:rsidRPr="008D773D" w:rsidTr="00B60EEA">
        <w:tc>
          <w:tcPr>
            <w:tcW w:w="2230" w:type="dxa"/>
            <w:shd w:val="clear" w:color="auto" w:fill="F2DBDB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Гликоли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00B28" w:rsidRPr="008D773D" w:rsidTr="00B60EEA">
        <w:tc>
          <w:tcPr>
            <w:tcW w:w="2230" w:type="dxa"/>
            <w:shd w:val="clear" w:color="auto" w:fill="F2DBDB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Бензол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00B28" w:rsidRPr="008D773D" w:rsidTr="00B60EEA">
        <w:tc>
          <w:tcPr>
            <w:tcW w:w="2230" w:type="dxa"/>
            <w:shd w:val="clear" w:color="auto" w:fill="F2DBDB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Толуол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00B28" w:rsidRPr="008D773D" w:rsidTr="00B60EEA">
        <w:tc>
          <w:tcPr>
            <w:tcW w:w="2230" w:type="dxa"/>
            <w:shd w:val="clear" w:color="auto" w:fill="F2DBDB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Ксилолы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000B28" w:rsidRPr="00000B28" w:rsidRDefault="00000B28" w:rsidP="0000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FD656D" w:rsidRPr="00B8396B" w:rsidRDefault="00FD656D" w:rsidP="00FD6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в том числе ацетон, определяемый при сахарном диабете</w:t>
      </w:r>
    </w:p>
    <w:p w:rsidR="00FD656D" w:rsidRDefault="00FD656D" w:rsidP="00FD6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D67" w:rsidRPr="003F7369" w:rsidRDefault="00000B28" w:rsidP="00915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Хочется отметить увеличение количества обнаружений метанола за последние три года: увеличение в 1,7 раз в 2017 г. по сравнению с 2014 г. Это связано с возросшим количеством случаев употребления с целью опьянения </w:t>
      </w:r>
      <w:r w:rsidR="00952AE5">
        <w:rPr>
          <w:rFonts w:ascii="Times New Roman" w:hAnsi="Times New Roman"/>
          <w:sz w:val="28"/>
          <w:szCs w:val="28"/>
        </w:rPr>
        <w:t xml:space="preserve">в зимний период </w:t>
      </w:r>
      <w:r w:rsidR="00952AE5" w:rsidRPr="00952A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2AE5" w:rsidRPr="002134A0">
        <w:rPr>
          <w:rFonts w:ascii="Times New Roman" w:hAnsi="Times New Roman" w:cs="Times New Roman"/>
          <w:sz w:val="28"/>
          <w:szCs w:val="28"/>
        </w:rPr>
        <w:t>незамерзайки</w:t>
      </w:r>
      <w:proofErr w:type="spellEnd"/>
      <w:r w:rsidR="00952AE5" w:rsidRPr="002134A0">
        <w:rPr>
          <w:rFonts w:ascii="Times New Roman" w:hAnsi="Times New Roman" w:cs="Times New Roman"/>
          <w:sz w:val="28"/>
          <w:szCs w:val="28"/>
        </w:rPr>
        <w:t>» – жидкости</w:t>
      </w:r>
      <w:r w:rsidR="00952AE5" w:rsidRPr="002134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которая применяется для </w:t>
      </w:r>
      <w:proofErr w:type="spellStart"/>
      <w:r w:rsidR="00952AE5" w:rsidRPr="002134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омывания</w:t>
      </w:r>
      <w:proofErr w:type="spellEnd"/>
      <w:r w:rsidR="00952AE5" w:rsidRPr="002134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лобового стекла в автотранспорте. </w:t>
      </w:r>
      <w:r w:rsidR="002134A0" w:rsidRPr="002134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состав </w:t>
      </w:r>
      <w:r w:rsidR="009164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незамерзающей жидкости</w:t>
      </w:r>
      <w:r w:rsidR="002134A0" w:rsidRPr="002134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может входить метиловый </w:t>
      </w:r>
      <w:r w:rsidR="002134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спирт, этиловый спирт</w:t>
      </w:r>
      <w:r w:rsidR="002134A0" w:rsidRPr="002134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изопропиловый спирт. </w:t>
      </w:r>
      <w:r w:rsidR="009164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России изготовление и продажа жидкостей на основе метилового </w:t>
      </w:r>
      <w:r w:rsidR="00916411" w:rsidRPr="008F6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спирта запрещены постановлением главного государственного санитарного врача РФ </w:t>
      </w:r>
      <w:r w:rsidR="008F6854">
        <w:rPr>
          <w:rFonts w:ascii="Times New Roman" w:hAnsi="Times New Roman" w:cs="Times New Roman"/>
          <w:sz w:val="28"/>
          <w:szCs w:val="28"/>
          <w:shd w:val="clear" w:color="auto" w:fill="FFFFFF"/>
        </w:rPr>
        <w:t>№ 47 от 11 июля 200</w:t>
      </w:r>
      <w:r w:rsidR="008F6854" w:rsidRPr="008F6854">
        <w:rPr>
          <w:rFonts w:ascii="Times New Roman" w:hAnsi="Times New Roman" w:cs="Times New Roman"/>
          <w:sz w:val="28"/>
          <w:szCs w:val="28"/>
          <w:shd w:val="clear" w:color="auto" w:fill="FFFFFF"/>
        </w:rPr>
        <w:t>7 г.</w:t>
      </w:r>
      <w:r w:rsidR="002134A0" w:rsidRPr="008F6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как некоторые граждане могут принимать их внутрь, что может привести к </w:t>
      </w:r>
      <w:r w:rsidR="002134A0" w:rsidRPr="003F7369">
        <w:rPr>
          <w:rFonts w:ascii="Times New Roman" w:hAnsi="Times New Roman" w:cs="Times New Roman"/>
          <w:sz w:val="28"/>
          <w:szCs w:val="28"/>
          <w:shd w:val="clear" w:color="auto" w:fill="FFFFFF"/>
        </w:rPr>
        <w:t>летальному исходу</w:t>
      </w:r>
      <w:r w:rsidR="00916411" w:rsidRPr="003F7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F6854" w:rsidRPr="003F736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916411" w:rsidRPr="003F7369">
        <w:rPr>
          <w:rFonts w:ascii="Times New Roman" w:hAnsi="Times New Roman" w:cs="Times New Roman"/>
          <w:sz w:val="28"/>
          <w:szCs w:val="28"/>
          <w:shd w:val="clear" w:color="auto" w:fill="FFFFFF"/>
        </w:rPr>
        <w:t>о на рынке встречается нелегально произведенная продукция</w:t>
      </w:r>
      <w:r w:rsidR="008F6854" w:rsidRPr="003F7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7369" w:rsidRPr="003F7369">
        <w:rPr>
          <w:rFonts w:ascii="Times New Roman" w:hAnsi="Times New Roman" w:cs="Times New Roman"/>
          <w:sz w:val="28"/>
          <w:szCs w:val="28"/>
          <w:shd w:val="clear" w:color="auto" w:fill="FFFFFF"/>
        </w:rPr>
        <w:t>За анализируемый период было проведено 3 су</w:t>
      </w:r>
      <w:r w:rsidR="004A230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F7369" w:rsidRPr="003F7369">
        <w:rPr>
          <w:rFonts w:ascii="Times New Roman" w:hAnsi="Times New Roman" w:cs="Times New Roman"/>
          <w:sz w:val="28"/>
          <w:szCs w:val="28"/>
          <w:shd w:val="clear" w:color="auto" w:fill="FFFFFF"/>
        </w:rPr>
        <w:t>ебно-химических экспертизы вещественных доказательств, представленных</w:t>
      </w:r>
      <w:r w:rsidR="00916411" w:rsidRPr="003F7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пластиковы</w:t>
      </w:r>
      <w:r w:rsidR="003F7369" w:rsidRPr="003F7369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916411" w:rsidRPr="003F7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емкост</w:t>
      </w:r>
      <w:r w:rsidR="003F7369" w:rsidRPr="003F7369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="00916411" w:rsidRPr="003F7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остатками «</w:t>
      </w:r>
      <w:proofErr w:type="spellStart"/>
      <w:r w:rsidR="00916411" w:rsidRPr="003F7369">
        <w:rPr>
          <w:rFonts w:ascii="Times New Roman" w:hAnsi="Times New Roman" w:cs="Times New Roman"/>
          <w:sz w:val="28"/>
          <w:szCs w:val="28"/>
          <w:shd w:val="clear" w:color="auto" w:fill="FFFFFF"/>
        </w:rPr>
        <w:t>незамерзайки</w:t>
      </w:r>
      <w:proofErr w:type="spellEnd"/>
      <w:r w:rsidR="00916411" w:rsidRPr="003F736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F7369" w:rsidRPr="003F7369">
        <w:rPr>
          <w:rFonts w:ascii="Times New Roman" w:hAnsi="Times New Roman" w:cs="Times New Roman"/>
          <w:sz w:val="28"/>
          <w:szCs w:val="28"/>
          <w:shd w:val="clear" w:color="auto" w:fill="FFFFFF"/>
        </w:rPr>
        <w:t>, изъятых с мест происшествия, при этом в 2-х случаях был обнаружен метанол (хотя на этикетках этих емкостей было указано</w:t>
      </w:r>
      <w:proofErr w:type="gramStart"/>
      <w:r w:rsidR="003F7369" w:rsidRPr="003F7369">
        <w:rPr>
          <w:rFonts w:ascii="Times New Roman" w:hAnsi="Times New Roman" w:cs="Times New Roman"/>
          <w:sz w:val="28"/>
          <w:szCs w:val="28"/>
          <w:shd w:val="clear" w:color="auto" w:fill="FFFFFF"/>
        </w:rPr>
        <w:t>:«</w:t>
      </w:r>
      <w:proofErr w:type="gramEnd"/>
      <w:r w:rsidR="003F7369" w:rsidRPr="003F7369">
        <w:rPr>
          <w:rFonts w:ascii="Times New Roman" w:hAnsi="Times New Roman" w:cs="Times New Roman"/>
          <w:sz w:val="28"/>
          <w:szCs w:val="28"/>
          <w:shd w:val="clear" w:color="auto" w:fill="FFFFFF"/>
        </w:rPr>
        <w:t>Не содержит метанол»), в одном случае – изопропиловый спирт</w:t>
      </w:r>
      <w:r w:rsidR="002134A0" w:rsidRPr="003F7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A2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статистическим данным бюро в 2017 г. было 58 случаев отравления метанолом, из них в Екатеринбурге – 13. </w:t>
      </w:r>
    </w:p>
    <w:p w:rsidR="00E33566" w:rsidRPr="00A12419" w:rsidRDefault="00E33566" w:rsidP="002134A0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F7369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915C66" w:rsidRPr="003F7369">
        <w:rPr>
          <w:rFonts w:ascii="Times New Roman" w:hAnsi="Times New Roman" w:cs="Times New Roman"/>
          <w:sz w:val="28"/>
          <w:szCs w:val="28"/>
        </w:rPr>
        <w:t>«суррогатов алкоголя»</w:t>
      </w:r>
      <w:r w:rsidRPr="003F7369">
        <w:rPr>
          <w:rFonts w:ascii="Times New Roman" w:hAnsi="Times New Roman" w:cs="Times New Roman"/>
          <w:sz w:val="28"/>
          <w:szCs w:val="28"/>
        </w:rPr>
        <w:t xml:space="preserve">, выявленных </w:t>
      </w:r>
      <w:r w:rsidRPr="002134A0">
        <w:rPr>
          <w:rFonts w:ascii="Times New Roman" w:hAnsi="Times New Roman" w:cs="Times New Roman"/>
          <w:sz w:val="28"/>
          <w:szCs w:val="28"/>
        </w:rPr>
        <w:t xml:space="preserve">в трупном материале </w:t>
      </w:r>
      <w:r w:rsidR="00915C66">
        <w:rPr>
          <w:rFonts w:ascii="Times New Roman" w:hAnsi="Times New Roman" w:cs="Times New Roman"/>
          <w:sz w:val="28"/>
          <w:szCs w:val="28"/>
        </w:rPr>
        <w:t>присудебно-химическом исследовании</w:t>
      </w:r>
      <w:r w:rsidRPr="002134A0">
        <w:rPr>
          <w:rFonts w:ascii="Times New Roman" w:hAnsi="Times New Roman" w:cs="Times New Roman"/>
          <w:sz w:val="28"/>
          <w:szCs w:val="28"/>
        </w:rPr>
        <w:t>, наиболее велики</w:t>
      </w:r>
      <w:r w:rsidRPr="00A12419">
        <w:rPr>
          <w:rFonts w:ascii="Times New Roman" w:hAnsi="Times New Roman"/>
          <w:sz w:val="28"/>
          <w:szCs w:val="28"/>
        </w:rPr>
        <w:t xml:space="preserve"> доли</w:t>
      </w:r>
      <w:r w:rsidR="00915C66">
        <w:rPr>
          <w:rFonts w:ascii="Times New Roman" w:hAnsi="Times New Roman"/>
          <w:sz w:val="28"/>
          <w:szCs w:val="28"/>
        </w:rPr>
        <w:t xml:space="preserve"> ацетона, изопропилового и </w:t>
      </w:r>
      <w:proofErr w:type="spellStart"/>
      <w:r w:rsidR="00915C66">
        <w:rPr>
          <w:rFonts w:ascii="Times New Roman" w:hAnsi="Times New Roman"/>
          <w:sz w:val="28"/>
          <w:szCs w:val="28"/>
        </w:rPr>
        <w:t>пропилового</w:t>
      </w:r>
      <w:proofErr w:type="spellEnd"/>
      <w:r w:rsidR="00915C66">
        <w:rPr>
          <w:rFonts w:ascii="Times New Roman" w:hAnsi="Times New Roman"/>
          <w:sz w:val="28"/>
          <w:szCs w:val="28"/>
        </w:rPr>
        <w:t xml:space="preserve"> спиртов</w:t>
      </w:r>
      <w:r w:rsidRPr="00A12419">
        <w:rPr>
          <w:rFonts w:ascii="Times New Roman" w:hAnsi="Times New Roman"/>
          <w:sz w:val="28"/>
          <w:szCs w:val="28"/>
        </w:rPr>
        <w:t xml:space="preserve">. Кроме того, в последние годы отмечена тенденция увеличения обнаружения </w:t>
      </w:r>
      <w:r w:rsidR="00915C66">
        <w:rPr>
          <w:rFonts w:ascii="Times New Roman" w:hAnsi="Times New Roman"/>
          <w:sz w:val="28"/>
          <w:szCs w:val="28"/>
        </w:rPr>
        <w:t>гликолей</w:t>
      </w:r>
      <w:r w:rsidR="000C47D8">
        <w:rPr>
          <w:rFonts w:ascii="Times New Roman" w:hAnsi="Times New Roman"/>
          <w:sz w:val="28"/>
          <w:szCs w:val="28"/>
        </w:rPr>
        <w:t>,</w:t>
      </w:r>
      <w:r w:rsidR="00915C66">
        <w:rPr>
          <w:rFonts w:ascii="Times New Roman" w:hAnsi="Times New Roman"/>
          <w:sz w:val="28"/>
          <w:szCs w:val="28"/>
        </w:rPr>
        <w:t xml:space="preserve"> толуола и ксилолов</w:t>
      </w:r>
      <w:r w:rsidRPr="00A12419">
        <w:rPr>
          <w:rFonts w:ascii="Times New Roman" w:hAnsi="Times New Roman"/>
          <w:sz w:val="28"/>
          <w:szCs w:val="28"/>
        </w:rPr>
        <w:t xml:space="preserve">. </w:t>
      </w:r>
    </w:p>
    <w:p w:rsidR="00A63AE1" w:rsidRPr="007F378D" w:rsidRDefault="00E33566" w:rsidP="00915C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2341">
        <w:rPr>
          <w:sz w:val="28"/>
          <w:szCs w:val="28"/>
        </w:rPr>
        <w:t xml:space="preserve">Каждый год нарастает количество обнаружений </w:t>
      </w:r>
      <w:r w:rsidR="00915C66">
        <w:rPr>
          <w:sz w:val="28"/>
          <w:szCs w:val="28"/>
        </w:rPr>
        <w:t>«с</w:t>
      </w:r>
      <w:bookmarkStart w:id="0" w:name="_GoBack"/>
      <w:bookmarkEnd w:id="0"/>
      <w:r w:rsidR="00915C66">
        <w:rPr>
          <w:sz w:val="28"/>
          <w:szCs w:val="28"/>
        </w:rPr>
        <w:t>уррогатов алкоголя»</w:t>
      </w:r>
      <w:r w:rsidRPr="00052341">
        <w:rPr>
          <w:sz w:val="28"/>
          <w:szCs w:val="28"/>
        </w:rPr>
        <w:t xml:space="preserve"> в комбинации друг с другом</w:t>
      </w:r>
      <w:r w:rsidR="00141422">
        <w:rPr>
          <w:sz w:val="28"/>
          <w:szCs w:val="28"/>
        </w:rPr>
        <w:t xml:space="preserve"> (чаще всего это были комбинации метанол-ацетон и </w:t>
      </w:r>
      <w:proofErr w:type="spellStart"/>
      <w:r w:rsidR="00141422">
        <w:rPr>
          <w:sz w:val="28"/>
          <w:szCs w:val="28"/>
        </w:rPr>
        <w:t>ацетон-изопропанол</w:t>
      </w:r>
      <w:proofErr w:type="spellEnd"/>
      <w:r w:rsidR="00141422">
        <w:rPr>
          <w:sz w:val="28"/>
          <w:szCs w:val="28"/>
        </w:rPr>
        <w:t>)</w:t>
      </w:r>
      <w:r w:rsidRPr="00052341">
        <w:rPr>
          <w:sz w:val="28"/>
          <w:szCs w:val="28"/>
        </w:rPr>
        <w:t xml:space="preserve">  и в комбинации с </w:t>
      </w:r>
      <w:r w:rsidR="00915C66">
        <w:rPr>
          <w:sz w:val="28"/>
          <w:szCs w:val="28"/>
        </w:rPr>
        <w:t>этиловым спиртом</w:t>
      </w:r>
      <w:r w:rsidRPr="00052341">
        <w:rPr>
          <w:sz w:val="28"/>
          <w:szCs w:val="28"/>
        </w:rPr>
        <w:t>. В результате получается смесь синергистов, то есть смесь веществ, которые в сочетании усиливают</w:t>
      </w:r>
      <w:r w:rsidR="00915C66">
        <w:rPr>
          <w:sz w:val="28"/>
          <w:szCs w:val="28"/>
        </w:rPr>
        <w:t xml:space="preserve"> токсический эффект друг друга (</w:t>
      </w:r>
      <w:r>
        <w:rPr>
          <w:sz w:val="28"/>
          <w:szCs w:val="28"/>
        </w:rPr>
        <w:t xml:space="preserve">диаграмма </w:t>
      </w:r>
      <w:r w:rsidR="00915C66">
        <w:rPr>
          <w:sz w:val="28"/>
          <w:szCs w:val="28"/>
        </w:rPr>
        <w:t>4)</w:t>
      </w:r>
      <w:r>
        <w:rPr>
          <w:sz w:val="28"/>
          <w:szCs w:val="28"/>
        </w:rPr>
        <w:t>.</w:t>
      </w:r>
    </w:p>
    <w:p w:rsidR="00141422" w:rsidRDefault="00141422" w:rsidP="00141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Диаграмма </w:t>
      </w:r>
      <w:r w:rsidR="004A230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Комбинации «суррогатов алкоголя», </w:t>
      </w:r>
      <w:r w:rsidR="004A230F">
        <w:rPr>
          <w:rFonts w:ascii="Times New Roman" w:hAnsi="Times New Roman"/>
          <w:sz w:val="24"/>
          <w:szCs w:val="24"/>
        </w:rPr>
        <w:t xml:space="preserve">наиболее часто </w:t>
      </w:r>
      <w:r>
        <w:rPr>
          <w:rFonts w:ascii="Times New Roman" w:hAnsi="Times New Roman"/>
          <w:sz w:val="24"/>
          <w:szCs w:val="24"/>
        </w:rPr>
        <w:t xml:space="preserve">обнаруживаемых при судебно-химическом исследовании </w:t>
      </w:r>
    </w:p>
    <w:p w:rsidR="00A63AE1" w:rsidRDefault="00141422" w:rsidP="00000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33E">
        <w:rPr>
          <w:noProof/>
          <w:lang w:eastAsia="ru-RU"/>
        </w:rPr>
        <w:lastRenderedPageBreak/>
        <w:drawing>
          <wp:inline distT="0" distB="0" distL="0" distR="0">
            <wp:extent cx="5734050" cy="37242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0B28" w:rsidRDefault="00000B28" w:rsidP="00000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5B18" w:rsidRDefault="00E33566" w:rsidP="00CD72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A1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915C66">
        <w:rPr>
          <w:rFonts w:ascii="Times New Roman" w:hAnsi="Times New Roman"/>
          <w:sz w:val="28"/>
          <w:szCs w:val="28"/>
          <w:shd w:val="clear" w:color="auto" w:fill="FFFFFF"/>
        </w:rPr>
        <w:t>200</w:t>
      </w:r>
      <w:r w:rsidRPr="00816A12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915C66">
        <w:rPr>
          <w:rFonts w:ascii="Times New Roman" w:hAnsi="Times New Roman"/>
          <w:sz w:val="28"/>
          <w:szCs w:val="28"/>
        </w:rPr>
        <w:t>29</w:t>
      </w:r>
      <w:r w:rsidRPr="00816A12">
        <w:rPr>
          <w:rFonts w:ascii="Times New Roman" w:hAnsi="Times New Roman"/>
          <w:sz w:val="28"/>
          <w:szCs w:val="28"/>
        </w:rPr>
        <w:t>%</w:t>
      </w:r>
      <w:r w:rsidRPr="00816A12">
        <w:rPr>
          <w:rFonts w:ascii="Times New Roman" w:hAnsi="Times New Roman"/>
          <w:sz w:val="28"/>
          <w:szCs w:val="28"/>
          <w:shd w:val="clear" w:color="auto" w:fill="FFFFFF"/>
        </w:rPr>
        <w:t xml:space="preserve">) случаях при судебно-химическом исследовании было установлено сочетанное употребление </w:t>
      </w:r>
      <w:r w:rsidR="00915C66">
        <w:rPr>
          <w:rFonts w:ascii="Times New Roman" w:hAnsi="Times New Roman"/>
          <w:sz w:val="28"/>
          <w:szCs w:val="28"/>
          <w:shd w:val="clear" w:color="auto" w:fill="FFFFFF"/>
        </w:rPr>
        <w:t>«суррогатов алкоголя»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вместе с этиловым спиртом</w:t>
      </w:r>
      <w:r w:rsidRPr="00816A1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816A12">
        <w:rPr>
          <w:rFonts w:ascii="Times New Roman" w:hAnsi="Times New Roman"/>
          <w:sz w:val="28"/>
          <w:szCs w:val="28"/>
        </w:rPr>
        <w:t xml:space="preserve">Наблюдается </w:t>
      </w:r>
      <w:r>
        <w:rPr>
          <w:rFonts w:ascii="Times New Roman" w:hAnsi="Times New Roman"/>
          <w:sz w:val="28"/>
          <w:szCs w:val="28"/>
        </w:rPr>
        <w:t xml:space="preserve">ежегодный рост таких случаев: </w:t>
      </w:r>
      <w:r w:rsidR="00915C66">
        <w:rPr>
          <w:rFonts w:ascii="Times New Roman" w:hAnsi="Times New Roman"/>
          <w:sz w:val="28"/>
          <w:szCs w:val="28"/>
        </w:rPr>
        <w:t xml:space="preserve">почти в 1,5 раза </w:t>
      </w:r>
      <w:r>
        <w:rPr>
          <w:rFonts w:ascii="Times New Roman" w:hAnsi="Times New Roman"/>
          <w:sz w:val="28"/>
          <w:szCs w:val="28"/>
        </w:rPr>
        <w:t xml:space="preserve"> больше в 201</w:t>
      </w:r>
      <w:r w:rsidR="00915C66">
        <w:rPr>
          <w:rFonts w:ascii="Times New Roman" w:hAnsi="Times New Roman"/>
          <w:sz w:val="28"/>
          <w:szCs w:val="28"/>
        </w:rPr>
        <w:t xml:space="preserve">7 г. по сравнению с 2012 г. </w:t>
      </w:r>
      <w:r>
        <w:rPr>
          <w:rFonts w:ascii="Times New Roman" w:hAnsi="Times New Roman"/>
          <w:sz w:val="28"/>
          <w:szCs w:val="28"/>
        </w:rPr>
        <w:t xml:space="preserve">(таблица </w:t>
      </w:r>
      <w:r w:rsidR="004A23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). Причем, наибольшее количество обнаружений этанола встречалос</w:t>
      </w:r>
      <w:r w:rsidR="00CD7209">
        <w:rPr>
          <w:rFonts w:ascii="Times New Roman" w:hAnsi="Times New Roman"/>
          <w:sz w:val="28"/>
          <w:szCs w:val="28"/>
        </w:rPr>
        <w:t>ь в диапазоне концентраций 0,5-2</w:t>
      </w:r>
      <w:r>
        <w:rPr>
          <w:rFonts w:ascii="Times New Roman" w:hAnsi="Times New Roman"/>
          <w:sz w:val="28"/>
          <w:szCs w:val="28"/>
        </w:rPr>
        <w:t xml:space="preserve">,0‰, наименьшее – при концентрации </w:t>
      </w:r>
      <w:r w:rsidR="00CD720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,0-</w:t>
      </w:r>
      <w:r w:rsidR="00CD720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,0‰, </w:t>
      </w:r>
      <w:r w:rsidR="00CD7209">
        <w:rPr>
          <w:rFonts w:ascii="Times New Roman" w:hAnsi="Times New Roman"/>
          <w:sz w:val="28"/>
          <w:szCs w:val="28"/>
        </w:rPr>
        <w:t>3 случая</w:t>
      </w:r>
      <w:r>
        <w:rPr>
          <w:rFonts w:ascii="Times New Roman" w:hAnsi="Times New Roman"/>
          <w:sz w:val="28"/>
          <w:szCs w:val="28"/>
        </w:rPr>
        <w:t xml:space="preserve"> обнаружения этилового спирта свыше 6,0‰</w:t>
      </w:r>
      <w:r w:rsidR="00CD7209">
        <w:rPr>
          <w:rFonts w:ascii="Times New Roman" w:hAnsi="Times New Roman"/>
          <w:sz w:val="28"/>
          <w:szCs w:val="28"/>
        </w:rPr>
        <w:t>, причем во всех трех случаях в обстоятельствах дела было указано: «Злоупотребля</w:t>
      </w:r>
      <w:proofErr w:type="gramStart"/>
      <w:r w:rsidR="00CD7209">
        <w:rPr>
          <w:rFonts w:ascii="Times New Roman" w:hAnsi="Times New Roman"/>
          <w:sz w:val="28"/>
          <w:szCs w:val="28"/>
        </w:rPr>
        <w:t>л(</w:t>
      </w:r>
      <w:proofErr w:type="gramEnd"/>
      <w:r w:rsidR="00CD7209">
        <w:rPr>
          <w:rFonts w:ascii="Times New Roman" w:hAnsi="Times New Roman"/>
          <w:sz w:val="28"/>
          <w:szCs w:val="28"/>
        </w:rPr>
        <w:t>а) техническими жидкостями», при судебно-химическом исследовании концентрации этилового спирта у двух мужчин в крови составили 6,7 и 7,1 промилле,  у женщины (возраст 46 лет) – 12,1 промилле в крови и 5,0 промилле в моче, во всех трех случаях обнаружен ацетон в токсических концентрациях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75B18" w:rsidRDefault="00975B18" w:rsidP="00975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CD720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75B18">
        <w:rPr>
          <w:rFonts w:ascii="Times New Roman" w:hAnsi="Times New Roman"/>
          <w:sz w:val="24"/>
          <w:szCs w:val="24"/>
        </w:rPr>
        <w:t>Случаи обнаружения этанола в биологическом материале совместно с «суррогатами» алкоголя</w:t>
      </w:r>
      <w:r>
        <w:rPr>
          <w:rFonts w:ascii="Times New Roman" w:hAnsi="Times New Roman"/>
          <w:sz w:val="24"/>
          <w:szCs w:val="24"/>
        </w:rPr>
        <w:t xml:space="preserve"> за период 2012-2016 г.г.</w:t>
      </w:r>
    </w:p>
    <w:p w:rsidR="00000B28" w:rsidRPr="00975B18" w:rsidRDefault="00000B28" w:rsidP="00975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2"/>
        <w:gridCol w:w="1045"/>
        <w:gridCol w:w="1045"/>
        <w:gridCol w:w="1045"/>
        <w:gridCol w:w="1045"/>
        <w:gridCol w:w="1046"/>
        <w:gridCol w:w="1418"/>
      </w:tblGrid>
      <w:tr w:rsidR="00975B18" w:rsidRPr="008D773D" w:rsidTr="00975B18">
        <w:tc>
          <w:tcPr>
            <w:tcW w:w="2712" w:type="dxa"/>
            <w:shd w:val="clear" w:color="auto" w:fill="C2D69B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Концентрация этанола </w:t>
            </w:r>
          </w:p>
        </w:tc>
        <w:tc>
          <w:tcPr>
            <w:tcW w:w="1045" w:type="dxa"/>
            <w:shd w:val="clear" w:color="auto" w:fill="C2D69B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5" w:type="dxa"/>
            <w:shd w:val="clear" w:color="auto" w:fill="C2D69B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5" w:type="dxa"/>
            <w:shd w:val="clear" w:color="auto" w:fill="C2D69B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5" w:type="dxa"/>
            <w:shd w:val="clear" w:color="auto" w:fill="C2D69B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46" w:type="dxa"/>
            <w:shd w:val="clear" w:color="auto" w:fill="C2D69B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C2D69B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</w:tr>
      <w:tr w:rsidR="00975B18" w:rsidRPr="00827375" w:rsidTr="00975B18">
        <w:tc>
          <w:tcPr>
            <w:tcW w:w="2712" w:type="dxa"/>
            <w:shd w:val="clear" w:color="auto" w:fill="FDE9D9"/>
          </w:tcPr>
          <w:p w:rsidR="00975B18" w:rsidRPr="0002220A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0A">
              <w:rPr>
                <w:rFonts w:ascii="Times New Roman" w:hAnsi="Times New Roman"/>
                <w:b/>
                <w:sz w:val="24"/>
                <w:szCs w:val="24"/>
              </w:rPr>
              <w:t>До 0,5 ‰</w:t>
            </w:r>
          </w:p>
        </w:tc>
        <w:tc>
          <w:tcPr>
            <w:tcW w:w="1045" w:type="dxa"/>
            <w:shd w:val="clear" w:color="auto" w:fill="auto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  <w:shd w:val="clear" w:color="auto" w:fill="auto"/>
          </w:tcPr>
          <w:p w:rsidR="00975B18" w:rsidRPr="00A21312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5" w:type="dxa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975B18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6" w:type="dxa"/>
            <w:shd w:val="clear" w:color="auto" w:fill="auto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75B18" w:rsidRPr="00827375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975B18" w:rsidRPr="00827375" w:rsidTr="00975B18">
        <w:tc>
          <w:tcPr>
            <w:tcW w:w="2712" w:type="dxa"/>
            <w:shd w:val="clear" w:color="auto" w:fill="FDE9D9"/>
          </w:tcPr>
          <w:p w:rsidR="00975B18" w:rsidRPr="0002220A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0A">
              <w:rPr>
                <w:rFonts w:ascii="Times New Roman" w:hAnsi="Times New Roman"/>
                <w:b/>
                <w:sz w:val="24"/>
                <w:szCs w:val="24"/>
              </w:rPr>
              <w:t>0,51 – 1,0 ‰</w:t>
            </w:r>
          </w:p>
        </w:tc>
        <w:tc>
          <w:tcPr>
            <w:tcW w:w="1045" w:type="dxa"/>
            <w:shd w:val="clear" w:color="auto" w:fill="auto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5" w:type="dxa"/>
            <w:shd w:val="clear" w:color="auto" w:fill="auto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975B18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75B18" w:rsidRPr="00827375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975B18" w:rsidRPr="00827375" w:rsidTr="00975B18">
        <w:tc>
          <w:tcPr>
            <w:tcW w:w="2712" w:type="dxa"/>
            <w:shd w:val="clear" w:color="auto" w:fill="FDE9D9"/>
          </w:tcPr>
          <w:p w:rsidR="00975B18" w:rsidRPr="0002220A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0A">
              <w:rPr>
                <w:rFonts w:ascii="Times New Roman" w:hAnsi="Times New Roman"/>
                <w:b/>
                <w:sz w:val="24"/>
                <w:szCs w:val="24"/>
              </w:rPr>
              <w:t>1,1 – 2,0 ‰</w:t>
            </w:r>
          </w:p>
        </w:tc>
        <w:tc>
          <w:tcPr>
            <w:tcW w:w="1045" w:type="dxa"/>
            <w:shd w:val="clear" w:color="auto" w:fill="auto"/>
          </w:tcPr>
          <w:p w:rsidR="00975B18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5" w:type="dxa"/>
            <w:shd w:val="clear" w:color="auto" w:fill="auto"/>
          </w:tcPr>
          <w:p w:rsidR="00975B18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5" w:type="dxa"/>
          </w:tcPr>
          <w:p w:rsidR="00975B18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975B18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975B18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75B18" w:rsidRPr="00827375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975B18" w:rsidRPr="00827375" w:rsidTr="00975B18">
        <w:tc>
          <w:tcPr>
            <w:tcW w:w="2712" w:type="dxa"/>
            <w:shd w:val="clear" w:color="auto" w:fill="FDE9D9"/>
          </w:tcPr>
          <w:p w:rsidR="00975B18" w:rsidRPr="0002220A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0A">
              <w:rPr>
                <w:rFonts w:ascii="Times New Roman" w:hAnsi="Times New Roman"/>
                <w:b/>
                <w:sz w:val="24"/>
                <w:szCs w:val="24"/>
              </w:rPr>
              <w:t>2,1 – 3,0 ‰</w:t>
            </w:r>
          </w:p>
        </w:tc>
        <w:tc>
          <w:tcPr>
            <w:tcW w:w="1045" w:type="dxa"/>
            <w:shd w:val="clear" w:color="auto" w:fill="auto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  <w:shd w:val="clear" w:color="auto" w:fill="auto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975B18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75B18" w:rsidRPr="00827375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975B18" w:rsidRPr="00827375" w:rsidTr="00975B18">
        <w:tc>
          <w:tcPr>
            <w:tcW w:w="2712" w:type="dxa"/>
            <w:shd w:val="clear" w:color="auto" w:fill="FDE9D9"/>
          </w:tcPr>
          <w:p w:rsidR="00975B18" w:rsidRPr="0002220A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0A">
              <w:rPr>
                <w:rFonts w:ascii="Times New Roman" w:hAnsi="Times New Roman"/>
                <w:b/>
                <w:sz w:val="24"/>
                <w:szCs w:val="24"/>
              </w:rPr>
              <w:t>3,1 – 4,0 ‰</w:t>
            </w:r>
          </w:p>
        </w:tc>
        <w:tc>
          <w:tcPr>
            <w:tcW w:w="1045" w:type="dxa"/>
            <w:shd w:val="clear" w:color="auto" w:fill="auto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975B18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75B18" w:rsidRPr="00827375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975B18" w:rsidRPr="00827375" w:rsidTr="00975B18">
        <w:tc>
          <w:tcPr>
            <w:tcW w:w="2712" w:type="dxa"/>
            <w:shd w:val="clear" w:color="auto" w:fill="FDE9D9"/>
          </w:tcPr>
          <w:p w:rsidR="00975B18" w:rsidRPr="0002220A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4,1 – 5,0 ‰</w:t>
            </w:r>
          </w:p>
        </w:tc>
        <w:tc>
          <w:tcPr>
            <w:tcW w:w="1045" w:type="dxa"/>
            <w:shd w:val="clear" w:color="auto" w:fill="auto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975B18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5B18" w:rsidRPr="00827375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75B18" w:rsidRPr="00827375" w:rsidTr="00975B18">
        <w:tc>
          <w:tcPr>
            <w:tcW w:w="2712" w:type="dxa"/>
            <w:shd w:val="clear" w:color="auto" w:fill="FDE9D9"/>
          </w:tcPr>
          <w:p w:rsidR="00975B18" w:rsidRPr="0002220A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0A">
              <w:rPr>
                <w:rFonts w:ascii="Times New Roman" w:hAnsi="Times New Roman"/>
                <w:b/>
                <w:sz w:val="24"/>
                <w:szCs w:val="24"/>
              </w:rPr>
              <w:t>5,1 – 6,0 ‰</w:t>
            </w:r>
          </w:p>
        </w:tc>
        <w:tc>
          <w:tcPr>
            <w:tcW w:w="1045" w:type="dxa"/>
            <w:shd w:val="clear" w:color="auto" w:fill="auto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975B18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5B18" w:rsidRPr="00827375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75B18" w:rsidRPr="00827375" w:rsidTr="00975B18">
        <w:tc>
          <w:tcPr>
            <w:tcW w:w="2712" w:type="dxa"/>
            <w:shd w:val="clear" w:color="auto" w:fill="FDE9D9"/>
          </w:tcPr>
          <w:p w:rsidR="00975B18" w:rsidRPr="0002220A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0A">
              <w:rPr>
                <w:rFonts w:ascii="Times New Roman" w:hAnsi="Times New Roman"/>
                <w:b/>
                <w:sz w:val="24"/>
                <w:szCs w:val="24"/>
              </w:rPr>
              <w:t>Свыше 6,0 ‰</w:t>
            </w:r>
          </w:p>
        </w:tc>
        <w:tc>
          <w:tcPr>
            <w:tcW w:w="1045" w:type="dxa"/>
            <w:shd w:val="clear" w:color="auto" w:fill="auto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975B18" w:rsidRPr="008D773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975B18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46" w:type="dxa"/>
            <w:shd w:val="clear" w:color="auto" w:fill="auto"/>
          </w:tcPr>
          <w:p w:rsidR="00975B18" w:rsidRPr="008D773D" w:rsidRDefault="00CD7209" w:rsidP="0000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5B18" w:rsidRPr="00827375" w:rsidRDefault="00CD7209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75B18" w:rsidRPr="00827375" w:rsidTr="00975B18">
        <w:trPr>
          <w:trHeight w:val="335"/>
        </w:trPr>
        <w:tc>
          <w:tcPr>
            <w:tcW w:w="2712" w:type="dxa"/>
            <w:shd w:val="clear" w:color="auto" w:fill="FDE9D9"/>
          </w:tcPr>
          <w:p w:rsidR="00975B18" w:rsidRPr="0002220A" w:rsidRDefault="00975B18" w:rsidP="00000B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2220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000B28"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  <w:r w:rsidRPr="000222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5" w:type="dxa"/>
            <w:shd w:val="clear" w:color="auto" w:fill="auto"/>
          </w:tcPr>
          <w:p w:rsidR="00975B18" w:rsidRPr="00917EF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26%</w:t>
            </w:r>
          </w:p>
        </w:tc>
        <w:tc>
          <w:tcPr>
            <w:tcW w:w="1045" w:type="dxa"/>
            <w:shd w:val="clear" w:color="auto" w:fill="auto"/>
          </w:tcPr>
          <w:p w:rsidR="00975B18" w:rsidRPr="00917EF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23%</w:t>
            </w:r>
          </w:p>
        </w:tc>
        <w:tc>
          <w:tcPr>
            <w:tcW w:w="1045" w:type="dxa"/>
          </w:tcPr>
          <w:p w:rsidR="00975B18" w:rsidRPr="00917EF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27%</w:t>
            </w:r>
          </w:p>
        </w:tc>
        <w:tc>
          <w:tcPr>
            <w:tcW w:w="1045" w:type="dxa"/>
          </w:tcPr>
          <w:p w:rsidR="00975B18" w:rsidRPr="00917EF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35%</w:t>
            </w:r>
          </w:p>
        </w:tc>
        <w:tc>
          <w:tcPr>
            <w:tcW w:w="1046" w:type="dxa"/>
            <w:shd w:val="clear" w:color="auto" w:fill="auto"/>
          </w:tcPr>
          <w:p w:rsidR="00975B18" w:rsidRPr="00917EF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38%</w:t>
            </w:r>
          </w:p>
        </w:tc>
        <w:tc>
          <w:tcPr>
            <w:tcW w:w="1418" w:type="dxa"/>
          </w:tcPr>
          <w:p w:rsidR="00975B18" w:rsidRPr="00917EFD" w:rsidRDefault="00975B18" w:rsidP="0000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29%</w:t>
            </w:r>
          </w:p>
        </w:tc>
      </w:tr>
    </w:tbl>
    <w:p w:rsidR="00141422" w:rsidRDefault="00141422" w:rsidP="00141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4F0" w:rsidRDefault="00E33566" w:rsidP="00E355B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анализе половозрастной структуры контингента умерших, биоматериал от которых направлялся на  судебно-</w:t>
      </w:r>
      <w:r w:rsidRPr="00D21F34">
        <w:rPr>
          <w:rFonts w:ascii="Times New Roman" w:hAnsi="Times New Roman"/>
          <w:bCs/>
          <w:sz w:val="28"/>
          <w:szCs w:val="28"/>
        </w:rPr>
        <w:t xml:space="preserve">химическое исследование, в результате чего были обнаружены </w:t>
      </w:r>
      <w:r w:rsidR="00CD7209">
        <w:rPr>
          <w:rFonts w:ascii="Times New Roman" w:hAnsi="Times New Roman"/>
          <w:bCs/>
          <w:sz w:val="28"/>
          <w:szCs w:val="28"/>
        </w:rPr>
        <w:t>«суррогаты алкоголя»</w:t>
      </w:r>
      <w:r w:rsidRPr="00D21F34">
        <w:rPr>
          <w:rFonts w:ascii="Times New Roman" w:hAnsi="Times New Roman"/>
          <w:bCs/>
          <w:sz w:val="28"/>
          <w:szCs w:val="28"/>
        </w:rPr>
        <w:t xml:space="preserve">, </w:t>
      </w:r>
      <w:r w:rsidRPr="00D21F34">
        <w:rPr>
          <w:rFonts w:ascii="Times New Roman" w:hAnsi="Times New Roman"/>
          <w:sz w:val="28"/>
          <w:szCs w:val="28"/>
          <w:shd w:val="clear" w:color="auto" w:fill="FFFFFF"/>
        </w:rPr>
        <w:t>ус</w:t>
      </w:r>
      <w:r w:rsidRPr="00D21F34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тойчиво преобладают лица мужского пола и составляют </w:t>
      </w:r>
      <w:r w:rsidR="006934F0">
        <w:rPr>
          <w:rFonts w:ascii="Times New Roman" w:hAnsi="Times New Roman"/>
          <w:sz w:val="28"/>
          <w:szCs w:val="28"/>
          <w:shd w:val="clear" w:color="auto" w:fill="FFFFFF"/>
        </w:rPr>
        <w:t>64</w:t>
      </w:r>
      <w:r w:rsidRPr="00D21F34">
        <w:rPr>
          <w:rFonts w:ascii="Times New Roman" w:hAnsi="Times New Roman"/>
          <w:sz w:val="28"/>
          <w:szCs w:val="28"/>
          <w:shd w:val="clear" w:color="auto" w:fill="FFFFFF"/>
        </w:rPr>
        <w:t>%, а жен</w:t>
      </w:r>
      <w:r w:rsidRPr="00D21F34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щины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6934F0">
        <w:rPr>
          <w:rFonts w:ascii="Times New Roman" w:hAnsi="Times New Roman"/>
          <w:sz w:val="28"/>
          <w:szCs w:val="28"/>
          <w:shd w:val="clear" w:color="auto" w:fill="FFFFFF"/>
        </w:rPr>
        <w:t xml:space="preserve">36% </w:t>
      </w:r>
      <w:r w:rsidRPr="00D21F34">
        <w:rPr>
          <w:rFonts w:ascii="Times New Roman" w:hAnsi="Times New Roman"/>
          <w:sz w:val="28"/>
          <w:szCs w:val="28"/>
          <w:shd w:val="clear" w:color="auto" w:fill="FFFFFF"/>
        </w:rPr>
        <w:t>случаев за анализируемый период времени.</w:t>
      </w:r>
      <w:r>
        <w:rPr>
          <w:rFonts w:ascii="Times New Roman" w:hAnsi="Times New Roman"/>
          <w:bCs/>
          <w:sz w:val="28"/>
          <w:szCs w:val="28"/>
        </w:rPr>
        <w:t xml:space="preserve">Большинство мужчин, употребляющих </w:t>
      </w:r>
      <w:r w:rsidR="006934F0">
        <w:rPr>
          <w:rFonts w:ascii="Times New Roman" w:hAnsi="Times New Roman"/>
          <w:bCs/>
          <w:sz w:val="28"/>
          <w:szCs w:val="28"/>
        </w:rPr>
        <w:t>технические жидкости и растворители</w:t>
      </w:r>
      <w:r>
        <w:rPr>
          <w:rFonts w:ascii="Times New Roman" w:hAnsi="Times New Roman"/>
          <w:bCs/>
          <w:sz w:val="28"/>
          <w:szCs w:val="28"/>
        </w:rPr>
        <w:t xml:space="preserve">,  в возрасте </w:t>
      </w:r>
      <w:r w:rsidR="006934F0">
        <w:rPr>
          <w:rFonts w:ascii="Times New Roman" w:hAnsi="Times New Roman"/>
          <w:bCs/>
          <w:sz w:val="28"/>
          <w:szCs w:val="28"/>
        </w:rPr>
        <w:t>41-60</w:t>
      </w:r>
      <w:r>
        <w:rPr>
          <w:rFonts w:ascii="Times New Roman" w:hAnsi="Times New Roman"/>
          <w:bCs/>
          <w:sz w:val="28"/>
          <w:szCs w:val="28"/>
        </w:rPr>
        <w:t xml:space="preserve"> лет, у женщин основная возрастная группа – это </w:t>
      </w:r>
      <w:r w:rsidR="006934F0">
        <w:rPr>
          <w:rFonts w:ascii="Times New Roman" w:hAnsi="Times New Roman"/>
          <w:bCs/>
          <w:sz w:val="28"/>
          <w:szCs w:val="28"/>
        </w:rPr>
        <w:t>30-50 лет</w:t>
      </w:r>
      <w:r w:rsidR="00E355B3">
        <w:rPr>
          <w:rFonts w:ascii="Times New Roman" w:hAnsi="Times New Roman"/>
          <w:bCs/>
          <w:sz w:val="28"/>
          <w:szCs w:val="28"/>
        </w:rPr>
        <w:t xml:space="preserve">. </w:t>
      </w:r>
    </w:p>
    <w:p w:rsidR="0081413E" w:rsidRPr="00D35161" w:rsidRDefault="00E355B3" w:rsidP="00D35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анализируемый период времени 2012-2017 г.г. нами </w:t>
      </w:r>
      <w:r w:rsidR="003F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трупном материале от детей в возрасте до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обнаружен этиловый спирт </w:t>
      </w:r>
      <w:r w:rsidR="00D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6,86% от всех случаев детской смертности этого возраста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(23 случая из 335)</w:t>
      </w:r>
      <w:r w:rsidR="00D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;в 11 случаях </w:t>
      </w:r>
      <w:r w:rsidR="003F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в возрасте до 14 лет был </w:t>
      </w:r>
      <w:r w:rsidR="00D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 диагноз «отравление этанолом». </w:t>
      </w:r>
      <w:r w:rsidR="0081413E" w:rsidRPr="0081413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алкогольная интоксикация прот</w:t>
      </w:r>
      <w:r w:rsidR="00D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екает тяжелее, чем у взрослых, с</w:t>
      </w:r>
      <w:r w:rsidR="0081413E" w:rsidRPr="0081413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это с незрелостью ферментативных систем метаболизма алкоголя. Поэтому </w:t>
      </w:r>
      <w:hyperlink r:id="rId9" w:tooltip="cтепень алкогольного опьянения" w:history="1">
        <w:r w:rsidR="0081413E" w:rsidRPr="008141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цифры содержания алкоголя в крови</w:t>
        </w:r>
      </w:hyperlink>
      <w:r w:rsidR="0081413E" w:rsidRPr="008141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при оценке степени опьянения  взрослых, к детям не применимы.У детей алкогольная кома  развивается при концентрации этанола в крови 0,8-2,0‰</w:t>
      </w:r>
      <w:r w:rsidR="008141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81413E" w:rsidRPr="0081413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лубокая алкогольная кома – при 2,0-</w:t>
      </w:r>
      <w:r w:rsidR="0081413E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="0081413E" w:rsidRPr="0081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‰. Смертельная доза алкоголя для ребенка – 3 г </w:t>
      </w:r>
      <w:r w:rsidR="0081413E" w:rsidRPr="00D351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этанола на 1 кг массы тела [«</w:t>
      </w:r>
      <w:r w:rsidR="0081413E" w:rsidRPr="00D3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Судебно-медицинская диагностика отравлений спиртами» под ред. </w:t>
      </w:r>
      <w:proofErr w:type="spellStart"/>
      <w:r w:rsidR="0081413E" w:rsidRPr="00D3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Пиголкина</w:t>
      </w:r>
      <w:proofErr w:type="spellEnd"/>
      <w:r w:rsidR="0081413E" w:rsidRPr="00D3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Ю.И., Москва, 2006</w:t>
      </w:r>
      <w:r w:rsidR="0081413E" w:rsidRPr="00D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proofErr w:type="spellStart"/>
      <w:r w:rsidR="0081413E" w:rsidRPr="00D35161">
        <w:rPr>
          <w:rFonts w:ascii="Times New Roman" w:eastAsia="Times New Roman" w:hAnsi="Times New Roman" w:cs="Times New Roman"/>
          <w:sz w:val="28"/>
          <w:szCs w:val="28"/>
          <w:lang w:eastAsia="ru-RU"/>
        </w:rPr>
        <w:t>J.Beattie</w:t>
      </w:r>
      <w:proofErr w:type="spellEnd"/>
      <w:r w:rsidR="0081413E" w:rsidRPr="00D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81413E" w:rsidRPr="00D35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</w:t>
      </w:r>
      <w:proofErr w:type="spellEnd"/>
      <w:r w:rsidR="0081413E" w:rsidRPr="00D35161">
        <w:rPr>
          <w:rFonts w:ascii="Times New Roman" w:eastAsia="Times New Roman" w:hAnsi="Times New Roman" w:cs="Times New Roman"/>
          <w:sz w:val="28"/>
          <w:szCs w:val="28"/>
          <w:lang w:eastAsia="ru-RU"/>
        </w:rPr>
        <w:t>. (1981) установили, что при содержании этанола в крови ребенка 0,8‰ наступает тяжелое отравление, а при концентрации выше 1,6‰ развивается кома.</w:t>
      </w:r>
    </w:p>
    <w:p w:rsidR="00E33566" w:rsidRPr="00430E5D" w:rsidRDefault="004A230F" w:rsidP="00383E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анализируемый период было</w:t>
      </w:r>
      <w:proofErr w:type="gramStart"/>
      <w:r w:rsidR="00D35161" w:rsidRPr="00D35161">
        <w:rPr>
          <w:rFonts w:ascii="Times New Roman" w:hAnsi="Times New Roman" w:cs="Times New Roman"/>
          <w:color w:val="000000"/>
          <w:sz w:val="28"/>
          <w:szCs w:val="28"/>
        </w:rPr>
        <w:t>7</w:t>
      </w:r>
      <w:proofErr w:type="gramEnd"/>
      <w:r w:rsidR="00D35161" w:rsidRPr="00D35161">
        <w:rPr>
          <w:rFonts w:ascii="Times New Roman" w:hAnsi="Times New Roman" w:cs="Times New Roman"/>
          <w:color w:val="000000"/>
          <w:sz w:val="28"/>
          <w:szCs w:val="28"/>
        </w:rPr>
        <w:t xml:space="preserve"> случаев обнаружен</w:t>
      </w:r>
      <w:r w:rsidR="00D35161">
        <w:rPr>
          <w:rFonts w:ascii="Times New Roman" w:hAnsi="Times New Roman" w:cs="Times New Roman"/>
          <w:color w:val="000000"/>
          <w:sz w:val="28"/>
          <w:szCs w:val="28"/>
        </w:rPr>
        <w:t xml:space="preserve">ия технических жидкостей у несовершеннолетних: в 4 случаях у детей до года обнаружен </w:t>
      </w:r>
      <w:proofErr w:type="spellStart"/>
      <w:r w:rsidR="00D35161">
        <w:rPr>
          <w:rFonts w:ascii="Times New Roman" w:hAnsi="Times New Roman" w:cs="Times New Roman"/>
          <w:color w:val="000000"/>
          <w:sz w:val="28"/>
          <w:szCs w:val="28"/>
        </w:rPr>
        <w:t>изопропанол</w:t>
      </w:r>
      <w:proofErr w:type="spellEnd"/>
      <w:r w:rsidR="00D3516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83E62"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доме </w:t>
      </w:r>
      <w:r w:rsidR="00D35161">
        <w:rPr>
          <w:rFonts w:ascii="Times New Roman" w:hAnsi="Times New Roman" w:cs="Times New Roman"/>
          <w:color w:val="000000"/>
          <w:sz w:val="28"/>
          <w:szCs w:val="28"/>
        </w:rPr>
        <w:t xml:space="preserve">обрабатывалась посуда для кормления антисептиком, содержащим </w:t>
      </w:r>
      <w:proofErr w:type="spellStart"/>
      <w:r w:rsidR="00D35161">
        <w:rPr>
          <w:rFonts w:ascii="Times New Roman" w:hAnsi="Times New Roman" w:cs="Times New Roman"/>
          <w:color w:val="000000"/>
          <w:sz w:val="28"/>
          <w:szCs w:val="28"/>
        </w:rPr>
        <w:t>изопропанол</w:t>
      </w:r>
      <w:proofErr w:type="spellEnd"/>
      <w:r w:rsidR="00D35161">
        <w:rPr>
          <w:rFonts w:ascii="Times New Roman" w:hAnsi="Times New Roman" w:cs="Times New Roman"/>
          <w:color w:val="000000"/>
          <w:sz w:val="28"/>
          <w:szCs w:val="28"/>
        </w:rPr>
        <w:t>), в 2</w:t>
      </w:r>
      <w:r w:rsidR="003F7369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="00D35161">
        <w:rPr>
          <w:rFonts w:ascii="Times New Roman" w:hAnsi="Times New Roman" w:cs="Times New Roman"/>
          <w:color w:val="000000"/>
          <w:sz w:val="28"/>
          <w:szCs w:val="28"/>
        </w:rPr>
        <w:t xml:space="preserve"> случаях у подростков 13</w:t>
      </w:r>
      <w:r w:rsidR="003F7369">
        <w:rPr>
          <w:rFonts w:ascii="Times New Roman" w:hAnsi="Times New Roman" w:cs="Times New Roman"/>
          <w:color w:val="000000"/>
          <w:sz w:val="28"/>
          <w:szCs w:val="28"/>
        </w:rPr>
        <w:t>-ти</w:t>
      </w:r>
      <w:r w:rsidR="00D35161">
        <w:rPr>
          <w:rFonts w:ascii="Times New Roman" w:hAnsi="Times New Roman" w:cs="Times New Roman"/>
          <w:color w:val="000000"/>
          <w:sz w:val="28"/>
          <w:szCs w:val="28"/>
        </w:rPr>
        <w:t xml:space="preserve"> и 16</w:t>
      </w:r>
      <w:r w:rsidR="003F7369">
        <w:rPr>
          <w:rFonts w:ascii="Times New Roman" w:hAnsi="Times New Roman" w:cs="Times New Roman"/>
          <w:color w:val="000000"/>
          <w:sz w:val="28"/>
          <w:szCs w:val="28"/>
        </w:rPr>
        <w:t>-ти</w:t>
      </w:r>
      <w:r w:rsidR="00D35161">
        <w:rPr>
          <w:rFonts w:ascii="Times New Roman" w:hAnsi="Times New Roman" w:cs="Times New Roman"/>
          <w:color w:val="000000"/>
          <w:sz w:val="28"/>
          <w:szCs w:val="28"/>
        </w:rPr>
        <w:t xml:space="preserve"> лет обнаружен толуол</w:t>
      </w:r>
      <w:r w:rsidR="00383E62">
        <w:rPr>
          <w:rFonts w:ascii="Times New Roman" w:hAnsi="Times New Roman" w:cs="Times New Roman"/>
          <w:color w:val="000000"/>
          <w:sz w:val="28"/>
          <w:szCs w:val="28"/>
        </w:rPr>
        <w:t xml:space="preserve">, у одного 16-ти-летнего подростка с </w:t>
      </w:r>
      <w:r w:rsidR="00383E62" w:rsidRPr="00430E5D">
        <w:rPr>
          <w:rFonts w:ascii="Times New Roman" w:hAnsi="Times New Roman" w:cs="Times New Roman"/>
          <w:color w:val="000000"/>
          <w:sz w:val="28"/>
          <w:szCs w:val="28"/>
        </w:rPr>
        <w:t>судебно-</w:t>
      </w:r>
      <w:r w:rsidR="00383E62" w:rsidRPr="00430E5D">
        <w:rPr>
          <w:rFonts w:ascii="Times New Roman" w:hAnsi="Times New Roman" w:cs="Times New Roman"/>
          <w:sz w:val="28"/>
          <w:szCs w:val="28"/>
        </w:rPr>
        <w:lastRenderedPageBreak/>
        <w:t>медицинским диагнозом «механическая асфиксия» также был обнаружен толуол (</w:t>
      </w:r>
      <w:r w:rsidR="00383E62" w:rsidRPr="00430E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толуол является важной составляющей для многих растворителей, </w:t>
      </w:r>
      <w:r w:rsidR="00430E5D">
        <w:rPr>
          <w:rFonts w:ascii="Times New Roman" w:hAnsi="Times New Roman" w:cs="Times New Roman"/>
          <w:sz w:val="28"/>
          <w:szCs w:val="28"/>
          <w:shd w:val="clear" w:color="auto" w:fill="FFFFFF"/>
        </w:rPr>
        <w:t>до 1998 г.</w:t>
      </w:r>
      <w:r w:rsidR="00383E62" w:rsidRPr="00430E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83E62" w:rsidRPr="00430E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входил</w:t>
      </w:r>
      <w:r w:rsidR="00383E62" w:rsidRPr="00430E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83E62" w:rsidRPr="00430E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383E62" w:rsidRPr="00430E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83E62" w:rsidRPr="00430E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состав</w:t>
      </w:r>
      <w:r w:rsidR="00383E62" w:rsidRPr="00430E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83E62" w:rsidRPr="00430E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популярного клея </w:t>
      </w:r>
      <w:r w:rsidR="00430E5D">
        <w:rPr>
          <w:rFonts w:ascii="Times New Roman" w:hAnsi="Times New Roman" w:cs="Times New Roman"/>
          <w:sz w:val="28"/>
          <w:szCs w:val="28"/>
          <w:shd w:val="clear" w:color="auto" w:fill="FFFFFF"/>
        </w:rPr>
        <w:t>«Момент»</w:t>
      </w:r>
      <w:r w:rsidR="00383E62" w:rsidRPr="00430E5D">
        <w:rPr>
          <w:rFonts w:ascii="Times New Roman" w:hAnsi="Times New Roman" w:cs="Times New Roman"/>
          <w:sz w:val="28"/>
          <w:szCs w:val="28"/>
          <w:shd w:val="clear" w:color="auto" w:fill="FFFFFF"/>
        </w:rPr>
        <w:t>, из-за чего пользовался популярностью у токсикоманов, относится</w:t>
      </w:r>
      <w:r w:rsidR="00383E62" w:rsidRPr="00430E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0E5D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383E62" w:rsidRPr="00430E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классификации ядовитых соединений к III классу опасности)</w:t>
      </w:r>
      <w:r w:rsidR="00383E62" w:rsidRPr="00430E5D">
        <w:rPr>
          <w:rFonts w:ascii="Times New Roman" w:hAnsi="Times New Roman" w:cs="Times New Roman"/>
          <w:sz w:val="28"/>
          <w:szCs w:val="28"/>
        </w:rPr>
        <w:t>.</w:t>
      </w:r>
    </w:p>
    <w:p w:rsidR="00714F81" w:rsidRDefault="00714F81" w:rsidP="005141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2060C">
        <w:rPr>
          <w:sz w:val="28"/>
          <w:szCs w:val="28"/>
        </w:rPr>
        <w:t>При анализе обстоятел</w:t>
      </w:r>
      <w:r w:rsidR="001444D9" w:rsidRPr="00B2060C">
        <w:rPr>
          <w:sz w:val="28"/>
          <w:szCs w:val="28"/>
        </w:rPr>
        <w:t xml:space="preserve">ьств наступления смерти </w:t>
      </w:r>
      <w:r w:rsidR="00B2060C" w:rsidRPr="00B2060C">
        <w:rPr>
          <w:sz w:val="28"/>
          <w:szCs w:val="28"/>
          <w:shd w:val="clear" w:color="auto" w:fill="FFFFFF"/>
        </w:rPr>
        <w:t xml:space="preserve">(указанных в направлении на судебно-химическое исследование) </w:t>
      </w:r>
      <w:r w:rsidR="001444D9" w:rsidRPr="00B2060C">
        <w:rPr>
          <w:sz w:val="28"/>
          <w:szCs w:val="28"/>
        </w:rPr>
        <w:t>выявле</w:t>
      </w:r>
      <w:r w:rsidRPr="00B2060C">
        <w:rPr>
          <w:sz w:val="28"/>
          <w:szCs w:val="28"/>
        </w:rPr>
        <w:t xml:space="preserve">но, что в подавляющем большинстве случаев – </w:t>
      </w:r>
      <w:r w:rsidR="00B2060C" w:rsidRPr="00B2060C">
        <w:rPr>
          <w:sz w:val="28"/>
          <w:szCs w:val="28"/>
        </w:rPr>
        <w:t>294</w:t>
      </w:r>
      <w:r w:rsidRPr="00B2060C">
        <w:rPr>
          <w:sz w:val="28"/>
          <w:szCs w:val="28"/>
        </w:rPr>
        <w:t xml:space="preserve"> (</w:t>
      </w:r>
      <w:r w:rsidR="00B2060C" w:rsidRPr="00B2060C">
        <w:rPr>
          <w:sz w:val="28"/>
          <w:szCs w:val="28"/>
        </w:rPr>
        <w:t xml:space="preserve">43,68 %) смерть наступила дома и </w:t>
      </w:r>
      <w:r w:rsidR="00F20975" w:rsidRPr="00B2060C">
        <w:rPr>
          <w:sz w:val="28"/>
          <w:szCs w:val="28"/>
        </w:rPr>
        <w:t xml:space="preserve">в стационаре – </w:t>
      </w:r>
      <w:r w:rsidR="00B2060C" w:rsidRPr="00B2060C">
        <w:rPr>
          <w:sz w:val="28"/>
          <w:szCs w:val="28"/>
        </w:rPr>
        <w:t>244</w:t>
      </w:r>
      <w:r w:rsidR="00F20975" w:rsidRPr="00B2060C">
        <w:rPr>
          <w:sz w:val="28"/>
          <w:szCs w:val="28"/>
        </w:rPr>
        <w:t xml:space="preserve"> (</w:t>
      </w:r>
      <w:r w:rsidR="00B2060C" w:rsidRPr="00B2060C">
        <w:rPr>
          <w:sz w:val="28"/>
          <w:szCs w:val="28"/>
        </w:rPr>
        <w:t>36,26</w:t>
      </w:r>
      <w:r w:rsidR="00F20975" w:rsidRPr="00B2060C">
        <w:rPr>
          <w:sz w:val="28"/>
          <w:szCs w:val="28"/>
        </w:rPr>
        <w:t>%),</w:t>
      </w:r>
      <w:r w:rsidR="00B2060C" w:rsidRPr="00B2060C">
        <w:rPr>
          <w:sz w:val="28"/>
          <w:szCs w:val="28"/>
        </w:rPr>
        <w:t xml:space="preserve"> значительно реже</w:t>
      </w:r>
      <w:r w:rsidRPr="00B2060C">
        <w:rPr>
          <w:sz w:val="28"/>
          <w:szCs w:val="28"/>
        </w:rPr>
        <w:t xml:space="preserve"> на улице – </w:t>
      </w:r>
      <w:r w:rsidR="00B2060C" w:rsidRPr="00B2060C">
        <w:rPr>
          <w:sz w:val="28"/>
          <w:szCs w:val="28"/>
        </w:rPr>
        <w:t xml:space="preserve">57случаев </w:t>
      </w:r>
      <w:r w:rsidRPr="00B2060C">
        <w:rPr>
          <w:sz w:val="28"/>
          <w:szCs w:val="28"/>
        </w:rPr>
        <w:t>(</w:t>
      </w:r>
      <w:r w:rsidR="00B2060C" w:rsidRPr="00B2060C">
        <w:rPr>
          <w:sz w:val="28"/>
          <w:szCs w:val="28"/>
        </w:rPr>
        <w:t>8,47</w:t>
      </w:r>
      <w:r w:rsidRPr="00B2060C">
        <w:rPr>
          <w:sz w:val="28"/>
          <w:szCs w:val="28"/>
        </w:rPr>
        <w:t xml:space="preserve">%), </w:t>
      </w:r>
      <w:r w:rsidR="00B2060C" w:rsidRPr="00B2060C">
        <w:rPr>
          <w:sz w:val="28"/>
          <w:szCs w:val="28"/>
        </w:rPr>
        <w:t>с диагнозом «сахарный диабет»</w:t>
      </w:r>
      <w:r w:rsidRPr="00B2060C">
        <w:rPr>
          <w:sz w:val="28"/>
          <w:szCs w:val="28"/>
        </w:rPr>
        <w:t xml:space="preserve"> – 26 (</w:t>
      </w:r>
      <w:r w:rsidR="00B2060C" w:rsidRPr="00B2060C">
        <w:rPr>
          <w:sz w:val="28"/>
          <w:szCs w:val="28"/>
        </w:rPr>
        <w:t>3,86</w:t>
      </w:r>
      <w:r w:rsidRPr="00B2060C">
        <w:rPr>
          <w:sz w:val="28"/>
          <w:szCs w:val="28"/>
        </w:rPr>
        <w:t xml:space="preserve">%), </w:t>
      </w:r>
      <w:r w:rsidR="00B2060C" w:rsidRPr="00B2060C">
        <w:rPr>
          <w:sz w:val="28"/>
          <w:szCs w:val="28"/>
        </w:rPr>
        <w:t>с обстоятельствами «употребляли техническую жидкость»</w:t>
      </w:r>
      <w:r w:rsidRPr="00B2060C">
        <w:rPr>
          <w:sz w:val="28"/>
          <w:szCs w:val="28"/>
        </w:rPr>
        <w:t xml:space="preserve"> – </w:t>
      </w:r>
      <w:r w:rsidR="00B2060C" w:rsidRPr="00B2060C">
        <w:rPr>
          <w:sz w:val="28"/>
          <w:szCs w:val="28"/>
        </w:rPr>
        <w:t>25</w:t>
      </w:r>
      <w:r w:rsidRPr="00B2060C">
        <w:rPr>
          <w:sz w:val="28"/>
          <w:szCs w:val="28"/>
        </w:rPr>
        <w:t xml:space="preserve"> (</w:t>
      </w:r>
      <w:r w:rsidR="00B2060C" w:rsidRPr="00B2060C">
        <w:rPr>
          <w:sz w:val="28"/>
          <w:szCs w:val="28"/>
        </w:rPr>
        <w:t>3,71</w:t>
      </w:r>
      <w:r w:rsidRPr="00B2060C">
        <w:rPr>
          <w:sz w:val="28"/>
          <w:szCs w:val="28"/>
        </w:rPr>
        <w:t xml:space="preserve">%), в </w:t>
      </w:r>
      <w:r w:rsidR="00B2060C" w:rsidRPr="00B2060C">
        <w:rPr>
          <w:sz w:val="28"/>
          <w:szCs w:val="28"/>
        </w:rPr>
        <w:t>гараже и с неуказанными обстоятельствами</w:t>
      </w:r>
      <w:r w:rsidRPr="00B2060C">
        <w:rPr>
          <w:sz w:val="28"/>
          <w:szCs w:val="28"/>
        </w:rPr>
        <w:t xml:space="preserve"> – </w:t>
      </w:r>
      <w:r w:rsidR="00B2060C" w:rsidRPr="00B2060C">
        <w:rPr>
          <w:sz w:val="28"/>
          <w:szCs w:val="28"/>
        </w:rPr>
        <w:t>по 9 случаев</w:t>
      </w:r>
      <w:r w:rsidRPr="00B2060C">
        <w:rPr>
          <w:sz w:val="28"/>
          <w:szCs w:val="28"/>
        </w:rPr>
        <w:t xml:space="preserve"> (</w:t>
      </w:r>
      <w:r w:rsidR="00B2060C" w:rsidRPr="00B2060C">
        <w:rPr>
          <w:sz w:val="28"/>
          <w:szCs w:val="28"/>
        </w:rPr>
        <w:t>по 1</w:t>
      </w:r>
      <w:r w:rsidRPr="00B2060C">
        <w:rPr>
          <w:sz w:val="28"/>
          <w:szCs w:val="28"/>
        </w:rPr>
        <w:t>,3</w:t>
      </w:r>
      <w:r w:rsidR="00B2060C" w:rsidRPr="00B2060C">
        <w:rPr>
          <w:sz w:val="28"/>
          <w:szCs w:val="28"/>
        </w:rPr>
        <w:t>4</w:t>
      </w:r>
      <w:r w:rsidRPr="00B2060C">
        <w:rPr>
          <w:sz w:val="28"/>
          <w:szCs w:val="28"/>
        </w:rPr>
        <w:t xml:space="preserve">%), </w:t>
      </w:r>
      <w:r w:rsidR="00B2060C" w:rsidRPr="00B2060C">
        <w:rPr>
          <w:sz w:val="28"/>
          <w:szCs w:val="28"/>
        </w:rPr>
        <w:t>по 2 случая</w:t>
      </w:r>
      <w:proofErr w:type="gramEnd"/>
      <w:r w:rsidR="00B2060C" w:rsidRPr="00B2060C">
        <w:rPr>
          <w:sz w:val="28"/>
          <w:szCs w:val="28"/>
        </w:rPr>
        <w:t xml:space="preserve"> механической асфиксии и обнаружения в автомобиле, 3 случая смерти в исправительной колонии (при судебно-химическом исследовании обнаружен метанол), 1 случай утопления в воде </w:t>
      </w:r>
      <w:r w:rsidRPr="00B2060C">
        <w:rPr>
          <w:sz w:val="28"/>
          <w:szCs w:val="28"/>
        </w:rPr>
        <w:t xml:space="preserve">и </w:t>
      </w:r>
      <w:r w:rsidR="00B2060C" w:rsidRPr="00B2060C">
        <w:rPr>
          <w:sz w:val="28"/>
          <w:szCs w:val="28"/>
        </w:rPr>
        <w:t>1 случай телесных повреждений криминального действия</w:t>
      </w:r>
      <w:r w:rsidRPr="00B2060C">
        <w:rPr>
          <w:sz w:val="28"/>
          <w:szCs w:val="28"/>
        </w:rPr>
        <w:t>.</w:t>
      </w:r>
    </w:p>
    <w:p w:rsidR="00141422" w:rsidRDefault="00141422" w:rsidP="00141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Диаграмма </w:t>
      </w:r>
      <w:r w:rsidR="004A23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Процентное соотношение случаев обнаружения «суррогатов алкоголя» в биологическом материале по г. Екатеринбургу, Нижнетагильскому городскому отделу и районным отделениям ГБУЗ СО «БСМЭ» </w:t>
      </w:r>
    </w:p>
    <w:p w:rsidR="00141422" w:rsidRPr="00B2060C" w:rsidRDefault="00141422" w:rsidP="001414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E233E">
        <w:rPr>
          <w:noProof/>
        </w:rPr>
        <w:drawing>
          <wp:inline distT="0" distB="0" distL="0" distR="0">
            <wp:extent cx="5505450" cy="36099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1422" w:rsidRPr="004A230F" w:rsidRDefault="00E33566" w:rsidP="004A230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 районным отделениям случаи обнаружения </w:t>
      </w:r>
      <w:r w:rsidR="005141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«суррогатов алкоголя»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биологическом материале были зафиксированы в 3</w:t>
      </w:r>
      <w:r w:rsidR="00144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 из 38-ми. Б</w:t>
      </w:r>
      <w:r w:rsidRPr="009402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ольшинство случаев зарегистрировано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г. Екатеринбурге (ОСМЭТ) – </w:t>
      </w:r>
      <w:r w:rsidR="005141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144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5,1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 от общего количества случаев обнаружения</w:t>
      </w:r>
      <w:r w:rsidR="00E24E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причем наблюдается ежегодное снижение количества обнаружений «суррогатов алкоголя»: почти в 2 раза в 2016 г. (49 случаев) по сравнению с 2013 г. (94 случая)</w:t>
      </w:r>
      <w:r w:rsidRPr="009402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Нижнетагильском городском отделе суд</w:t>
      </w:r>
      <w:r w:rsidR="00E24E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ебно-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</w:t>
      </w:r>
      <w:r w:rsidR="00E24E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ицинской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экспертизы – </w:t>
      </w:r>
      <w:r w:rsidR="005141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5,</w:t>
      </w:r>
      <w:r w:rsidR="00144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% и </w:t>
      </w:r>
      <w:r w:rsidR="00144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39,0</w:t>
      </w:r>
      <w:r w:rsidR="005141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</w:t>
      </w:r>
      <w:r w:rsidR="00693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="005141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районные отделения </w:t>
      </w:r>
      <w:r w:rsidR="00693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5141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диаграмма</w:t>
      </w:r>
      <w:r w:rsidR="004A23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693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1444D9" w:rsidRDefault="001444D9" w:rsidP="0014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6. Случаи обнаружения «суррогатов алкоголя» в биологическом материале по районным отделениям ГБ</w:t>
      </w:r>
      <w:r w:rsidR="003F7369">
        <w:rPr>
          <w:rFonts w:ascii="Times New Roman" w:hAnsi="Times New Roman"/>
          <w:sz w:val="24"/>
          <w:szCs w:val="24"/>
        </w:rPr>
        <w:t>УЗ СО «БСМЭ» за период 2012-2016</w:t>
      </w:r>
      <w:r>
        <w:rPr>
          <w:rFonts w:ascii="Times New Roman" w:hAnsi="Times New Roman"/>
          <w:sz w:val="24"/>
          <w:szCs w:val="24"/>
        </w:rPr>
        <w:t>г.г.</w:t>
      </w:r>
    </w:p>
    <w:p w:rsidR="001444D9" w:rsidRDefault="001444D9" w:rsidP="001444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1047"/>
        <w:gridCol w:w="1048"/>
        <w:gridCol w:w="1048"/>
        <w:gridCol w:w="1048"/>
        <w:gridCol w:w="1048"/>
        <w:gridCol w:w="1719"/>
      </w:tblGrid>
      <w:tr w:rsidR="003F7369" w:rsidRPr="008D773D" w:rsidTr="003F7369">
        <w:tc>
          <w:tcPr>
            <w:tcW w:w="2505" w:type="dxa"/>
            <w:shd w:val="clear" w:color="auto" w:fill="C2D69B"/>
          </w:tcPr>
          <w:p w:rsidR="003F7369" w:rsidRPr="008D773D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Районное отделение </w:t>
            </w:r>
          </w:p>
        </w:tc>
        <w:tc>
          <w:tcPr>
            <w:tcW w:w="1047" w:type="dxa"/>
            <w:shd w:val="clear" w:color="auto" w:fill="C2D69B"/>
          </w:tcPr>
          <w:p w:rsidR="003F7369" w:rsidRPr="008D773D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8" w:type="dxa"/>
            <w:shd w:val="clear" w:color="auto" w:fill="C2D69B"/>
          </w:tcPr>
          <w:p w:rsidR="003F7369" w:rsidRPr="008D773D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" w:type="dxa"/>
            <w:shd w:val="clear" w:color="auto" w:fill="C2D69B"/>
          </w:tcPr>
          <w:p w:rsidR="003F7369" w:rsidRPr="008D773D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3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" w:type="dxa"/>
            <w:shd w:val="clear" w:color="auto" w:fill="C2D69B"/>
          </w:tcPr>
          <w:p w:rsidR="003F7369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48" w:type="dxa"/>
            <w:shd w:val="clear" w:color="auto" w:fill="C2D69B"/>
          </w:tcPr>
          <w:p w:rsidR="003F7369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19" w:type="dxa"/>
            <w:shd w:val="clear" w:color="auto" w:fill="C2D69B"/>
          </w:tcPr>
          <w:p w:rsidR="003F7369" w:rsidRPr="008D773D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</w:tr>
      <w:tr w:rsidR="003F7369" w:rsidRPr="008D773D" w:rsidTr="003F7369">
        <w:tc>
          <w:tcPr>
            <w:tcW w:w="2505" w:type="dxa"/>
            <w:shd w:val="clear" w:color="auto" w:fill="FDE9D9"/>
          </w:tcPr>
          <w:p w:rsidR="003F7369" w:rsidRPr="008D773D" w:rsidRDefault="003F7369" w:rsidP="00B20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Екатеринбург)</w:t>
            </w:r>
          </w:p>
        </w:tc>
        <w:tc>
          <w:tcPr>
            <w:tcW w:w="1047" w:type="dxa"/>
            <w:shd w:val="clear" w:color="auto" w:fill="auto"/>
          </w:tcPr>
          <w:p w:rsidR="003F7369" w:rsidRPr="008D773D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48" w:type="dxa"/>
            <w:shd w:val="clear" w:color="auto" w:fill="auto"/>
          </w:tcPr>
          <w:p w:rsidR="003F7369" w:rsidRPr="008D773D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48" w:type="dxa"/>
            <w:shd w:val="clear" w:color="auto" w:fill="auto"/>
          </w:tcPr>
          <w:p w:rsidR="003F7369" w:rsidRPr="008D773D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48" w:type="dxa"/>
          </w:tcPr>
          <w:p w:rsidR="003F7369" w:rsidRPr="003F7369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36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48" w:type="dxa"/>
          </w:tcPr>
          <w:p w:rsidR="003F7369" w:rsidRPr="003F7369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36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19" w:type="dxa"/>
          </w:tcPr>
          <w:p w:rsidR="003F7369" w:rsidRPr="00827375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372</w:t>
            </w:r>
          </w:p>
        </w:tc>
      </w:tr>
      <w:tr w:rsidR="003F7369" w:rsidRPr="008D773D" w:rsidTr="003F7369">
        <w:tc>
          <w:tcPr>
            <w:tcW w:w="2505" w:type="dxa"/>
            <w:shd w:val="clear" w:color="auto" w:fill="FDE9D9"/>
          </w:tcPr>
          <w:p w:rsidR="003F7369" w:rsidRPr="008D773D" w:rsidRDefault="003F7369" w:rsidP="00B20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Нижний Тагил</w:t>
            </w:r>
          </w:p>
        </w:tc>
        <w:tc>
          <w:tcPr>
            <w:tcW w:w="1047" w:type="dxa"/>
            <w:shd w:val="clear" w:color="auto" w:fill="auto"/>
          </w:tcPr>
          <w:p w:rsidR="003F7369" w:rsidRPr="008D773D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  <w:shd w:val="clear" w:color="auto" w:fill="auto"/>
          </w:tcPr>
          <w:p w:rsidR="003F7369" w:rsidRPr="008D773D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  <w:shd w:val="clear" w:color="auto" w:fill="auto"/>
          </w:tcPr>
          <w:p w:rsidR="003F7369" w:rsidRPr="008D773D" w:rsidRDefault="003F7369" w:rsidP="003F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8" w:type="dxa"/>
          </w:tcPr>
          <w:p w:rsidR="003F7369" w:rsidRPr="003F7369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3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3F7369" w:rsidRPr="003F7369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3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</w:tcPr>
          <w:p w:rsidR="003F7369" w:rsidRPr="00827375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E24E8C" w:rsidRPr="008D773D" w:rsidTr="003F7369">
        <w:tc>
          <w:tcPr>
            <w:tcW w:w="2505" w:type="dxa"/>
            <w:shd w:val="clear" w:color="auto" w:fill="FDE9D9"/>
          </w:tcPr>
          <w:p w:rsidR="00E24E8C" w:rsidRDefault="00E24E8C" w:rsidP="00B20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Краснотурьинск</w:t>
            </w:r>
          </w:p>
          <w:p w:rsidR="00E24E8C" w:rsidRDefault="00E24E8C" w:rsidP="00B20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Карпинск</w:t>
            </w:r>
          </w:p>
        </w:tc>
        <w:tc>
          <w:tcPr>
            <w:tcW w:w="1047" w:type="dxa"/>
            <w:shd w:val="clear" w:color="auto" w:fill="auto"/>
          </w:tcPr>
          <w:p w:rsidR="00E24E8C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8" w:type="dxa"/>
            <w:shd w:val="clear" w:color="auto" w:fill="auto"/>
          </w:tcPr>
          <w:p w:rsidR="00E24E8C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  <w:shd w:val="clear" w:color="auto" w:fill="auto"/>
          </w:tcPr>
          <w:p w:rsidR="00E24E8C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E24E8C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E24E8C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E24E8C" w:rsidRDefault="00E24E8C" w:rsidP="003F7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E24E8C" w:rsidRPr="008D773D" w:rsidTr="003F7369">
        <w:tc>
          <w:tcPr>
            <w:tcW w:w="2505" w:type="dxa"/>
            <w:shd w:val="clear" w:color="auto" w:fill="FDE9D9"/>
          </w:tcPr>
          <w:p w:rsidR="00E24E8C" w:rsidRDefault="00E24E8C" w:rsidP="00B20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Ирбит</w:t>
            </w:r>
          </w:p>
        </w:tc>
        <w:tc>
          <w:tcPr>
            <w:tcW w:w="1047" w:type="dxa"/>
            <w:shd w:val="clear" w:color="auto" w:fill="auto"/>
          </w:tcPr>
          <w:p w:rsidR="00E24E8C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  <w:shd w:val="clear" w:color="auto" w:fill="auto"/>
          </w:tcPr>
          <w:p w:rsidR="00E24E8C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  <w:shd w:val="clear" w:color="auto" w:fill="auto"/>
          </w:tcPr>
          <w:p w:rsidR="00E24E8C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E24E8C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E24E8C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9" w:type="dxa"/>
          </w:tcPr>
          <w:p w:rsidR="00E24E8C" w:rsidRDefault="00E24E8C" w:rsidP="003F7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3F7369" w:rsidRPr="008D773D" w:rsidTr="003F7369">
        <w:tc>
          <w:tcPr>
            <w:tcW w:w="2505" w:type="dxa"/>
            <w:shd w:val="clear" w:color="auto" w:fill="FDE9D9"/>
          </w:tcPr>
          <w:p w:rsidR="003F7369" w:rsidRDefault="003F7369" w:rsidP="00B20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Каменск-Уральский </w:t>
            </w:r>
          </w:p>
        </w:tc>
        <w:tc>
          <w:tcPr>
            <w:tcW w:w="1047" w:type="dxa"/>
            <w:shd w:val="clear" w:color="auto" w:fill="auto"/>
          </w:tcPr>
          <w:p w:rsidR="003F7369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3F7369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3F7369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3F7369" w:rsidRPr="003F7369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3F7369" w:rsidRPr="003F7369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</w:tcPr>
          <w:p w:rsidR="003F7369" w:rsidRPr="00827375" w:rsidRDefault="003F7369" w:rsidP="003F7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F7369" w:rsidRPr="008D773D" w:rsidTr="003F7369">
        <w:tc>
          <w:tcPr>
            <w:tcW w:w="2505" w:type="dxa"/>
            <w:shd w:val="clear" w:color="auto" w:fill="FDE9D9"/>
          </w:tcPr>
          <w:p w:rsidR="003F7369" w:rsidRPr="008D773D" w:rsidRDefault="003F7369" w:rsidP="00B20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</w:t>
            </w:r>
          </w:p>
        </w:tc>
        <w:tc>
          <w:tcPr>
            <w:tcW w:w="1047" w:type="dxa"/>
            <w:shd w:val="clear" w:color="auto" w:fill="auto"/>
          </w:tcPr>
          <w:p w:rsidR="003F7369" w:rsidRPr="008D773D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  <w:shd w:val="clear" w:color="auto" w:fill="auto"/>
          </w:tcPr>
          <w:p w:rsidR="003F7369" w:rsidRPr="008D773D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shd w:val="clear" w:color="auto" w:fill="auto"/>
          </w:tcPr>
          <w:p w:rsidR="003F7369" w:rsidRPr="008D773D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3F7369" w:rsidRPr="003F7369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3F7369" w:rsidRPr="003F7369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3F7369" w:rsidRPr="00827375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24E8C" w:rsidRPr="008D773D" w:rsidTr="003F7369">
        <w:tc>
          <w:tcPr>
            <w:tcW w:w="2505" w:type="dxa"/>
            <w:shd w:val="clear" w:color="auto" w:fill="FDE9D9"/>
          </w:tcPr>
          <w:p w:rsidR="00E24E8C" w:rsidRDefault="00E24E8C" w:rsidP="00B20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</w:t>
            </w:r>
          </w:p>
        </w:tc>
        <w:tc>
          <w:tcPr>
            <w:tcW w:w="1047" w:type="dxa"/>
            <w:shd w:val="clear" w:color="auto" w:fill="auto"/>
          </w:tcPr>
          <w:p w:rsidR="00E24E8C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E24E8C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E24E8C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E24E8C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E24E8C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E24E8C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3F7369" w:rsidRPr="008D773D" w:rsidTr="003F7369">
        <w:tc>
          <w:tcPr>
            <w:tcW w:w="2505" w:type="dxa"/>
            <w:shd w:val="clear" w:color="auto" w:fill="FDE9D9"/>
          </w:tcPr>
          <w:p w:rsidR="003F7369" w:rsidRPr="008D773D" w:rsidRDefault="00E24E8C" w:rsidP="00B20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Богданович</w:t>
            </w:r>
          </w:p>
        </w:tc>
        <w:tc>
          <w:tcPr>
            <w:tcW w:w="1047" w:type="dxa"/>
            <w:shd w:val="clear" w:color="auto" w:fill="auto"/>
          </w:tcPr>
          <w:p w:rsidR="003F7369" w:rsidRPr="008D773D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3F7369" w:rsidRPr="008D773D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3F7369" w:rsidRPr="008D773D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3F7369" w:rsidRPr="003F7369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3F7369" w:rsidRPr="003F7369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3F7369" w:rsidRPr="00827375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3F7369" w:rsidRPr="008D773D" w:rsidTr="003F7369">
        <w:tc>
          <w:tcPr>
            <w:tcW w:w="2505" w:type="dxa"/>
            <w:shd w:val="clear" w:color="auto" w:fill="FDE9D9"/>
          </w:tcPr>
          <w:p w:rsidR="003F7369" w:rsidRDefault="00E24E8C" w:rsidP="00B20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Североуральск</w:t>
            </w:r>
          </w:p>
          <w:p w:rsidR="00E24E8C" w:rsidRPr="008D773D" w:rsidRDefault="00E24E8C" w:rsidP="00B20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3F7369" w:rsidRPr="008D773D" w:rsidRDefault="003F7369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shd w:val="clear" w:color="auto" w:fill="auto"/>
          </w:tcPr>
          <w:p w:rsidR="003F7369" w:rsidRPr="008D773D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shd w:val="clear" w:color="auto" w:fill="auto"/>
          </w:tcPr>
          <w:p w:rsidR="003F7369" w:rsidRPr="008D773D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3F7369" w:rsidRPr="003F7369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3F7369" w:rsidRPr="003F7369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9" w:type="dxa"/>
          </w:tcPr>
          <w:p w:rsidR="003F7369" w:rsidRPr="00827375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7369" w:rsidRPr="008D773D" w:rsidTr="003F7369">
        <w:tc>
          <w:tcPr>
            <w:tcW w:w="2505" w:type="dxa"/>
            <w:shd w:val="clear" w:color="auto" w:fill="FDE9D9"/>
          </w:tcPr>
          <w:p w:rsidR="003F7369" w:rsidRPr="008D773D" w:rsidRDefault="00E24E8C" w:rsidP="00B20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Сысерть</w:t>
            </w:r>
          </w:p>
        </w:tc>
        <w:tc>
          <w:tcPr>
            <w:tcW w:w="1047" w:type="dxa"/>
            <w:shd w:val="clear" w:color="auto" w:fill="auto"/>
          </w:tcPr>
          <w:p w:rsidR="003F7369" w:rsidRPr="008D773D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3F7369" w:rsidRPr="008D773D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3F7369" w:rsidRPr="008D773D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3F7369" w:rsidRPr="003F7369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3F7369" w:rsidRPr="003F7369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</w:tcPr>
          <w:p w:rsidR="003F7369" w:rsidRPr="00827375" w:rsidRDefault="00E24E8C" w:rsidP="00B20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1444D9" w:rsidRDefault="001444D9" w:rsidP="001444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3566" w:rsidRPr="00D96807" w:rsidRDefault="001444D9" w:rsidP="00D968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остальных районных отделениях случаи обнаружения </w:t>
      </w:r>
      <w:r w:rsidR="00E24E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«суррогатов алкоголя»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встречались </w:t>
      </w:r>
      <w:r w:rsidR="00E24E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менее10 раз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D96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Алапаевск</w:t>
      </w:r>
      <w:r w:rsidR="004A23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</w:t>
      </w:r>
      <w:proofErr w:type="spellEnd"/>
      <w:r w:rsidR="004A23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A23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В.Пышминское</w:t>
      </w:r>
      <w:proofErr w:type="spellEnd"/>
      <w:r w:rsidR="004A23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Белоярское</w:t>
      </w:r>
      <w:r w:rsidR="00D96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96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Первоуральск</w:t>
      </w:r>
      <w:r w:rsidR="004A23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</w:t>
      </w:r>
      <w:proofErr w:type="spellEnd"/>
      <w:r w:rsidR="00D96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A23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Полевское</w:t>
      </w:r>
      <w:proofErr w:type="spellEnd"/>
      <w:r w:rsidR="004A23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A23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Ревдинскок</w:t>
      </w:r>
      <w:proofErr w:type="spellEnd"/>
      <w:r w:rsidR="004A23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A23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Березовское</w:t>
      </w:r>
      <w:proofErr w:type="spellEnd"/>
      <w:r w:rsidR="004A23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A23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Сухоложское</w:t>
      </w:r>
      <w:proofErr w:type="spellEnd"/>
      <w:r w:rsidR="00D96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96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Красноуфимск</w:t>
      </w:r>
      <w:r w:rsidR="004A23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по </w:t>
      </w:r>
      <w:r w:rsidR="00D96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 раз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в районных отделениях </w:t>
      </w:r>
      <w:proofErr w:type="spellStart"/>
      <w:r w:rsidR="00D96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Асбест</w:t>
      </w:r>
      <w:r w:rsidR="004A23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овское</w:t>
      </w:r>
      <w:proofErr w:type="spellEnd"/>
      <w:r w:rsidR="00D96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Качканар</w:t>
      </w:r>
      <w:r w:rsidR="004A23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ское, </w:t>
      </w:r>
      <w:proofErr w:type="spellStart"/>
      <w:r w:rsidR="004A23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Тавдинское</w:t>
      </w:r>
      <w:proofErr w:type="spellEnd"/>
      <w:r w:rsidR="004A23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(таблица 6)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33566" w:rsidRPr="008C7403" w:rsidRDefault="00E33566" w:rsidP="00E3356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7403">
        <w:rPr>
          <w:rFonts w:ascii="Times New Roman" w:hAnsi="Times New Roman"/>
          <w:b/>
          <w:bCs/>
          <w:sz w:val="28"/>
          <w:szCs w:val="28"/>
        </w:rPr>
        <w:t>Выводы</w:t>
      </w:r>
      <w:r w:rsidRPr="008C7403">
        <w:rPr>
          <w:rFonts w:ascii="Times New Roman" w:hAnsi="Times New Roman"/>
          <w:bCs/>
          <w:sz w:val="28"/>
          <w:szCs w:val="28"/>
        </w:rPr>
        <w:t>:</w:t>
      </w:r>
    </w:p>
    <w:p w:rsidR="00E33566" w:rsidRPr="008C7403" w:rsidRDefault="00E33566" w:rsidP="00E33566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403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D96807">
        <w:rPr>
          <w:rFonts w:ascii="Times New Roman" w:hAnsi="Times New Roman"/>
          <w:sz w:val="28"/>
          <w:szCs w:val="28"/>
          <w:shd w:val="clear" w:color="auto" w:fill="FFFFFF"/>
        </w:rPr>
        <w:t>За последние 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лет </w:t>
      </w:r>
      <w:r w:rsidR="009767FE">
        <w:rPr>
          <w:rFonts w:ascii="Times New Roman" w:hAnsi="Times New Roman"/>
          <w:sz w:val="28"/>
          <w:szCs w:val="28"/>
          <w:shd w:val="clear" w:color="auto" w:fill="FFFFFF"/>
        </w:rPr>
        <w:t xml:space="preserve">доля отравлений алкоголем </w:t>
      </w:r>
      <w:r w:rsidR="0016264C">
        <w:rPr>
          <w:rFonts w:ascii="Times New Roman" w:hAnsi="Times New Roman"/>
          <w:sz w:val="28"/>
          <w:szCs w:val="28"/>
          <w:shd w:val="clear" w:color="auto" w:fill="FFFFFF"/>
        </w:rPr>
        <w:t xml:space="preserve">в структуре насильственной смерти </w:t>
      </w:r>
      <w:r w:rsidR="009767FE">
        <w:rPr>
          <w:rFonts w:ascii="Times New Roman" w:hAnsi="Times New Roman"/>
          <w:sz w:val="28"/>
          <w:szCs w:val="28"/>
          <w:shd w:val="clear" w:color="auto" w:fill="FFFFFF"/>
        </w:rPr>
        <w:t>остается на достаточно высок</w:t>
      </w:r>
      <w:r w:rsidR="0016264C">
        <w:rPr>
          <w:rFonts w:ascii="Times New Roman" w:hAnsi="Times New Roman"/>
          <w:sz w:val="28"/>
          <w:szCs w:val="28"/>
          <w:shd w:val="clear" w:color="auto" w:fill="FFFFFF"/>
        </w:rPr>
        <w:t>ом уровне, составляя в среднем 13,7%</w:t>
      </w:r>
      <w:r w:rsidRPr="008C740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6264C">
        <w:rPr>
          <w:rFonts w:ascii="Times New Roman" w:hAnsi="Times New Roman"/>
          <w:sz w:val="28"/>
          <w:szCs w:val="28"/>
          <w:shd w:val="clear" w:color="auto" w:fill="FFFFFF"/>
        </w:rPr>
        <w:t xml:space="preserve">Наблюдается ежегодное снижение случаев отравлений алкоголем (в 1,5 раза в 2017 г. по сравнению с 2015 г.). Также наблюдается ежегодное стабильное снижение процента обнаружения этилового спирта при насильственной смерти (снижение на 10% в 2017 г. по сравнению с 2012 г.); </w:t>
      </w:r>
      <w:r w:rsidR="0016264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 ненасильственной смерти этот показатель носит хаотичный характер (колеблется от 22,1 до 8,8%).</w:t>
      </w:r>
    </w:p>
    <w:p w:rsidR="00E33566" w:rsidRPr="008C7403" w:rsidRDefault="00E33566" w:rsidP="00E335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7403">
        <w:rPr>
          <w:rFonts w:ascii="Times New Roman" w:hAnsi="Times New Roman"/>
          <w:sz w:val="28"/>
          <w:szCs w:val="28"/>
        </w:rPr>
        <w:t xml:space="preserve">Распределение по общепринятым возрастным группам показало, что подавляющее большинство </w:t>
      </w:r>
      <w:r>
        <w:rPr>
          <w:rFonts w:ascii="Times New Roman" w:hAnsi="Times New Roman"/>
          <w:sz w:val="28"/>
          <w:szCs w:val="28"/>
        </w:rPr>
        <w:t xml:space="preserve">обнаружений </w:t>
      </w:r>
      <w:r w:rsidR="006934F0">
        <w:rPr>
          <w:rFonts w:ascii="Times New Roman" w:hAnsi="Times New Roman"/>
          <w:sz w:val="28"/>
          <w:szCs w:val="28"/>
        </w:rPr>
        <w:t>«суррогатов алкоголя»</w:t>
      </w:r>
      <w:r w:rsidRPr="008C7403">
        <w:rPr>
          <w:rFonts w:ascii="Times New Roman" w:hAnsi="Times New Roman"/>
          <w:sz w:val="28"/>
          <w:szCs w:val="28"/>
        </w:rPr>
        <w:t xml:space="preserve"> приходится на возрастной промежуток от </w:t>
      </w:r>
      <w:r w:rsidR="006934F0">
        <w:rPr>
          <w:rFonts w:ascii="Times New Roman" w:hAnsi="Times New Roman"/>
          <w:sz w:val="28"/>
          <w:szCs w:val="28"/>
        </w:rPr>
        <w:t>30 до 60</w:t>
      </w:r>
      <w:r w:rsidRPr="008C7403">
        <w:rPr>
          <w:rFonts w:ascii="Times New Roman" w:hAnsi="Times New Roman"/>
          <w:sz w:val="28"/>
          <w:szCs w:val="28"/>
        </w:rPr>
        <w:t xml:space="preserve"> лет, т.е. на наиболее активный период жизни </w:t>
      </w:r>
      <w:r w:rsidRPr="008C7403">
        <w:rPr>
          <w:rFonts w:ascii="Times New Roman" w:hAnsi="Times New Roman"/>
          <w:sz w:val="28"/>
          <w:szCs w:val="28"/>
          <w:shd w:val="clear" w:color="auto" w:fill="FFFFFF"/>
        </w:rPr>
        <w:t>трудоспособного возраста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В основном это</w:t>
      </w:r>
      <w:r w:rsidRPr="008C7403">
        <w:rPr>
          <w:rFonts w:ascii="Times New Roman" w:hAnsi="Times New Roman"/>
          <w:sz w:val="28"/>
          <w:szCs w:val="28"/>
        </w:rPr>
        <w:t xml:space="preserve"> мужчины </w:t>
      </w:r>
      <w:r>
        <w:rPr>
          <w:rFonts w:ascii="Times New Roman" w:hAnsi="Times New Roman"/>
          <w:sz w:val="28"/>
          <w:szCs w:val="28"/>
        </w:rPr>
        <w:t>(</w:t>
      </w:r>
      <w:r w:rsidR="006934F0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%)</w:t>
      </w:r>
      <w:r w:rsidRPr="008C7403">
        <w:rPr>
          <w:rFonts w:ascii="Times New Roman" w:hAnsi="Times New Roman"/>
          <w:sz w:val="28"/>
          <w:szCs w:val="28"/>
        </w:rPr>
        <w:t>.</w:t>
      </w:r>
    </w:p>
    <w:p w:rsidR="00E33566" w:rsidRDefault="00E33566" w:rsidP="00E335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Наиболее часто в качестве обстоятельств дела в направлении на судебно-химическое исследование указывалось «Из дома», что свидетельствует о быстрой смерти; также большой процент обстоятельств дела «Из больницы», что свидетельствует о высокой смертности в результате употребления </w:t>
      </w:r>
      <w:r w:rsidR="0016264C">
        <w:rPr>
          <w:rFonts w:ascii="Times New Roman" w:hAnsi="Times New Roman"/>
          <w:sz w:val="28"/>
          <w:szCs w:val="28"/>
        </w:rPr>
        <w:t>технических жидкостей и растворителей</w:t>
      </w:r>
      <w:r>
        <w:rPr>
          <w:rFonts w:ascii="Times New Roman" w:hAnsi="Times New Roman"/>
          <w:sz w:val="28"/>
          <w:szCs w:val="28"/>
        </w:rPr>
        <w:t xml:space="preserve">. Велики доли случаев </w:t>
      </w:r>
      <w:r w:rsidR="0016264C">
        <w:rPr>
          <w:rFonts w:ascii="Times New Roman" w:hAnsi="Times New Roman"/>
          <w:sz w:val="28"/>
          <w:szCs w:val="28"/>
        </w:rPr>
        <w:t>диагноза «сахарный диабет»</w:t>
      </w:r>
      <w:r>
        <w:rPr>
          <w:rFonts w:ascii="Times New Roman" w:hAnsi="Times New Roman"/>
          <w:sz w:val="28"/>
          <w:szCs w:val="28"/>
        </w:rPr>
        <w:t>.</w:t>
      </w:r>
    </w:p>
    <w:p w:rsidR="00E33566" w:rsidRDefault="00E33566" w:rsidP="00E33566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 Большой процент составляют обнаружения </w:t>
      </w:r>
      <w:r w:rsidR="0016264C">
        <w:rPr>
          <w:rFonts w:ascii="Times New Roman" w:hAnsi="Times New Roman"/>
          <w:sz w:val="28"/>
          <w:szCs w:val="28"/>
        </w:rPr>
        <w:t>«суррогатов алкоголя»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совместно с </w:t>
      </w:r>
      <w:r w:rsidR="0016264C">
        <w:rPr>
          <w:rFonts w:ascii="Times New Roman" w:hAnsi="Times New Roman"/>
          <w:sz w:val="28"/>
          <w:szCs w:val="28"/>
          <w:shd w:val="clear" w:color="auto" w:fill="FFFFFF"/>
        </w:rPr>
        <w:t>этиловым алкоголем, а также в комбинации друг с другом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, что приводит к взаимному усилению токсического действия каждого компонента.</w:t>
      </w:r>
    </w:p>
    <w:p w:rsidR="00E33566" w:rsidRPr="008C7403" w:rsidRDefault="00E33566" w:rsidP="00E33566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территориям неблагополучия, где наблюдается </w:t>
      </w:r>
      <w:r w:rsidR="00415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большое число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употребления </w:t>
      </w:r>
      <w:r w:rsidR="00415783">
        <w:rPr>
          <w:rFonts w:ascii="Times New Roman" w:hAnsi="Times New Roman"/>
          <w:sz w:val="28"/>
          <w:szCs w:val="28"/>
        </w:rPr>
        <w:t>«суррогатов алкоголя»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относятся  Екатеринбург, Нижний Тагил и </w:t>
      </w:r>
      <w:r w:rsidR="004157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третьем месте – Ирбит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8380A" w:rsidRPr="000C47D8" w:rsidRDefault="0018380A" w:rsidP="001838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8380A" w:rsidRPr="000C47D8" w:rsidSect="0032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0E5"/>
    <w:rsid w:val="00000B28"/>
    <w:rsid w:val="000A2B34"/>
    <w:rsid w:val="000C47D8"/>
    <w:rsid w:val="00141422"/>
    <w:rsid w:val="001444D9"/>
    <w:rsid w:val="001568DB"/>
    <w:rsid w:val="0016264C"/>
    <w:rsid w:val="00167BD9"/>
    <w:rsid w:val="0018380A"/>
    <w:rsid w:val="001F2029"/>
    <w:rsid w:val="002134A0"/>
    <w:rsid w:val="00323F1D"/>
    <w:rsid w:val="0037348C"/>
    <w:rsid w:val="00383E62"/>
    <w:rsid w:val="003F0123"/>
    <w:rsid w:val="003F7369"/>
    <w:rsid w:val="00415783"/>
    <w:rsid w:val="00416508"/>
    <w:rsid w:val="00421FD7"/>
    <w:rsid w:val="00430E5D"/>
    <w:rsid w:val="004A09C6"/>
    <w:rsid w:val="004A230F"/>
    <w:rsid w:val="0051412F"/>
    <w:rsid w:val="005A10E5"/>
    <w:rsid w:val="00626003"/>
    <w:rsid w:val="006934F0"/>
    <w:rsid w:val="00714F81"/>
    <w:rsid w:val="00741267"/>
    <w:rsid w:val="007C15A8"/>
    <w:rsid w:val="007D2185"/>
    <w:rsid w:val="0081413E"/>
    <w:rsid w:val="008C4A71"/>
    <w:rsid w:val="008F6854"/>
    <w:rsid w:val="00915C66"/>
    <w:rsid w:val="00916411"/>
    <w:rsid w:val="00952AE5"/>
    <w:rsid w:val="00975B18"/>
    <w:rsid w:val="009767FE"/>
    <w:rsid w:val="009E433E"/>
    <w:rsid w:val="00A21E09"/>
    <w:rsid w:val="00A57F15"/>
    <w:rsid w:val="00A63AE1"/>
    <w:rsid w:val="00A938E2"/>
    <w:rsid w:val="00AC443F"/>
    <w:rsid w:val="00B2060C"/>
    <w:rsid w:val="00B60EEA"/>
    <w:rsid w:val="00C33AA5"/>
    <w:rsid w:val="00C60069"/>
    <w:rsid w:val="00C96424"/>
    <w:rsid w:val="00CA1D67"/>
    <w:rsid w:val="00CA3575"/>
    <w:rsid w:val="00CD7209"/>
    <w:rsid w:val="00CE2D2F"/>
    <w:rsid w:val="00CE3C3C"/>
    <w:rsid w:val="00D04206"/>
    <w:rsid w:val="00D35161"/>
    <w:rsid w:val="00D96807"/>
    <w:rsid w:val="00E24E8C"/>
    <w:rsid w:val="00E33566"/>
    <w:rsid w:val="00E355B3"/>
    <w:rsid w:val="00F20975"/>
    <w:rsid w:val="00FD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003"/>
  </w:style>
  <w:style w:type="character" w:customStyle="1" w:styleId="A4">
    <w:name w:val="A4"/>
    <w:uiPriority w:val="99"/>
    <w:rsid w:val="00CE2D2F"/>
    <w:rPr>
      <w:rFonts w:cs="Minion Pro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A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003"/>
  </w:style>
  <w:style w:type="character" w:customStyle="1" w:styleId="A4">
    <w:name w:val="A4"/>
    <w:uiPriority w:val="99"/>
    <w:rsid w:val="00CE2D2F"/>
    <w:rPr>
      <w:rFonts w:cs="Minion Pro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A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5.xml"/><Relationship Id="rId4" Type="http://schemas.openxmlformats.org/officeDocument/2006/relationships/image" Target="media/image1.png"/><Relationship Id="rId9" Type="http://schemas.openxmlformats.org/officeDocument/2006/relationships/hyperlink" Target="http://www.forens-med.ru/book.php?id=1324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>
                <a:solidFill>
                  <a:srgbClr val="002060"/>
                </a:solidFill>
                <a:effectLst/>
                <a:latin typeface="Times New Roman" pitchFamily="18" charset="0"/>
                <a:cs typeface="Times New Roman" pitchFamily="18" charset="0"/>
              </a:defRPr>
            </a:pPr>
            <a:r>
              <a:rPr lang="ru-RU" sz="1200" dirty="0" smtClean="0">
                <a:solidFill>
                  <a:srgbClr val="002060"/>
                </a:solidFill>
                <a:effectLst/>
                <a:latin typeface="Times New Roman" pitchFamily="18" charset="0"/>
                <a:cs typeface="Times New Roman" pitchFamily="18" charset="0"/>
              </a:rPr>
              <a:t>В  % от общего числа случаев смерти от отравлений</a:t>
            </a:r>
            <a:endParaRPr lang="ru-RU" sz="1200" dirty="0">
              <a:solidFill>
                <a:srgbClr val="002060"/>
              </a:solidFill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099018945137673"/>
          <c:y val="2.2402719794253925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общего числа случаев смерти от отравлений</c:v>
                </c:pt>
              </c:strCache>
            </c:strRef>
          </c:tx>
          <c:explosion val="25"/>
          <c:dPt>
            <c:idx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CC4AC3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9900FF"/>
              </a:solidFill>
            </c:spPr>
          </c:dPt>
          <c:dPt>
            <c:idx val="7"/>
            <c:spPr>
              <a:solidFill>
                <a:srgbClr val="FF9900"/>
              </a:solidFill>
            </c:spPr>
          </c:dPt>
          <c:dLbls>
            <c:dLbl>
              <c:idx val="0"/>
              <c:layout>
                <c:manualLayout>
                  <c:x val="-0.13310493473084076"/>
                  <c:y val="4.5655517550102165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3.9038257635014187E-2"/>
                  <c:y val="-0.1527987572981949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1.9864141183240813E-2"/>
                  <c:y val="-2.7086082586885839E-3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9.8579374598042876E-2"/>
                  <c:y val="-0.18435664929638898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6.9364790656261985E-2"/>
                  <c:y val="8.0166337300137652E-3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-4.6412971658119995E-3"/>
                  <c:y val="-1.5681081031501183E-2"/>
                </c:manualLayout>
              </c:layout>
              <c:dLblPos val="bestFit"/>
              <c:showVal val="1"/>
            </c:dLbl>
            <c:dLbl>
              <c:idx val="6"/>
              <c:layout>
                <c:manualLayout>
                  <c:x val="2.3784002924608142E-2"/>
                  <c:y val="2.3755667482747746E-3"/>
                </c:manualLayout>
              </c:layout>
              <c:dLblPos val="bestFit"/>
              <c:showVal val="1"/>
            </c:dLbl>
            <c:dLbl>
              <c:idx val="7"/>
              <c:layout>
                <c:manualLayout>
                  <c:x val="1.383439053142279E-2"/>
                  <c:y val="-2.6671544689919506E-4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200" b="1">
                    <a:effectLst/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этанол</c:v>
                </c:pt>
                <c:pt idx="1">
                  <c:v>технические жидкости</c:v>
                </c:pt>
                <c:pt idx="2">
                  <c:v>лекарственные вещества</c:v>
                </c:pt>
                <c:pt idx="3">
                  <c:v>наркотические вещества</c:v>
                </c:pt>
                <c:pt idx="4">
                  <c:v>угарный газ</c:v>
                </c:pt>
                <c:pt idx="5">
                  <c:v>кислоты и щелочи</c:v>
                </c:pt>
                <c:pt idx="6">
                  <c:v>неустановленные яды</c:v>
                </c:pt>
                <c:pt idx="7">
                  <c:v>прочие яды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40.46</c:v>
                </c:pt>
                <c:pt idx="1">
                  <c:v>3.5</c:v>
                </c:pt>
                <c:pt idx="2">
                  <c:v>1.9300000000000002</c:v>
                </c:pt>
                <c:pt idx="3">
                  <c:v>19.399999999999999</c:v>
                </c:pt>
                <c:pt idx="4">
                  <c:v>19.7</c:v>
                </c:pt>
                <c:pt idx="5">
                  <c:v>4.6399999999999997</c:v>
                </c:pt>
                <c:pt idx="6">
                  <c:v>7.23</c:v>
                </c:pt>
                <c:pt idx="7">
                  <c:v>2.65</c:v>
                </c:pt>
              </c:numCache>
            </c:numRef>
          </c:val>
        </c:ser>
      </c:pie3DChart>
      <c:spPr>
        <a:noFill/>
        <a:ln w="2540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1">
                <a:effectLst/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effectLst/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effectLst/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="1">
                <a:effectLst/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 b="1">
                <a:effectLst/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200" b="1">
                <a:effectLst/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5655589455030461"/>
          <c:y val="0.14804224136412492"/>
          <c:w val="0.32797583596713997"/>
          <c:h val="0.75421286265391341"/>
        </c:manualLayout>
      </c:layout>
      <c:txPr>
        <a:bodyPr/>
        <a:lstStyle/>
        <a:p>
          <a:pPr>
            <a:defRPr sz="1200" b="1">
              <a:effectLst/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solidFill>
        <a:schemeClr val="bg1"/>
      </a:solidFill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1.6244900261667869E-4"/>
          <c:y val="4.2957259899722974E-2"/>
          <c:w val="0.99983756827933379"/>
          <c:h val="0.861249713067943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этиловый спирт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0"/>
                  <c:y val="-1.1199704398353261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smtClean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11</a:t>
                    </a:r>
                    <a:r>
                      <a:rPr lang="ru-RU" sz="1200" b="1" smtClean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1200" b="1" smtClean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382</a:t>
                    </a:r>
                    <a:endParaRPr lang="en-US" sz="1600" b="1" dirty="0">
                      <a:solidFill>
                        <a:srgbClr val="0070C0"/>
                      </a:solidFill>
                      <a:latin typeface="Verdana" pitchFamily="34" charset="0"/>
                      <a:cs typeface="Times New Roman" pitchFamily="18" charset="0"/>
                    </a:endParaRPr>
                  </a:p>
                </c:rich>
              </c:tx>
            </c:dLbl>
            <c:dLbl>
              <c:idx val="1"/>
              <c:layout>
                <c:manualLayout>
                  <c:x val="4.5342908422677311E-3"/>
                  <c:y val="-1.6799556597529804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smtClean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11</a:t>
                    </a:r>
                    <a:r>
                      <a:rPr lang="ru-RU" sz="1200" b="1" smtClean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1200" b="1" smtClean="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349</a:t>
                    </a:r>
                    <a:endParaRPr lang="en-US" sz="1600" b="1">
                      <a:solidFill>
                        <a:srgbClr val="0070C0"/>
                      </a:solidFill>
                      <a:latin typeface="Verdana" pitchFamily="34" charset="0"/>
                      <a:cs typeface="Times New Roman" pitchFamily="18" charset="0"/>
                    </a:endParaRPr>
                  </a:p>
                </c:rich>
              </c:tx>
            </c:dLbl>
            <c:dLbl>
              <c:idx val="2"/>
              <c:layout>
                <c:manualLayout>
                  <c:x val="0"/>
                  <c:y val="-1.6799556597529804E-2"/>
                </c:manualLayout>
              </c:layout>
              <c:showVal val="1"/>
            </c:dLbl>
            <c:dLbl>
              <c:idx val="3"/>
              <c:layout>
                <c:manualLayout>
                  <c:x val="-1.5114302807559658E-3"/>
                  <c:y val="-2.5199334896294705E-2"/>
                </c:manualLayout>
              </c:layout>
              <c:showVal val="1"/>
            </c:dLbl>
            <c:dLbl>
              <c:idx val="4"/>
              <c:layout>
                <c:manualLayout>
                  <c:x val="1.5114302807559099E-3"/>
                  <c:y val="-3.3599113195059607E-2"/>
                </c:manualLayout>
              </c:layout>
              <c:showVal val="1"/>
            </c:dLbl>
            <c:dLbl>
              <c:idx val="5"/>
              <c:layout>
                <c:manualLayout>
                  <c:x val="7.5501297985382477E-3"/>
                  <c:y val="-4.7878295369715905E-2"/>
                </c:manualLayout>
              </c:layout>
              <c:showVal val="1"/>
            </c:dLbl>
            <c:dLbl>
              <c:idx val="6"/>
              <c:layout>
                <c:manualLayout>
                  <c:x val="1.2082873507447725E-2"/>
                  <c:y val="-4.4946750696784735E-2"/>
                </c:manualLayout>
              </c:layout>
              <c:showVal val="1"/>
            </c:dLbl>
            <c:dLbl>
              <c:idx val="7"/>
              <c:layout>
                <c:manualLayout>
                  <c:x val="9.0684626742772532E-3"/>
                  <c:y val="-4.7870358571323365E-2"/>
                </c:manualLayout>
              </c:layout>
              <c:showVal val="1"/>
            </c:dLbl>
            <c:dLbl>
              <c:idx val="8"/>
              <c:layout>
                <c:manualLayout>
                  <c:x val="7.5571514037795513E-3"/>
                  <c:y val="-3.919896539423619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Лист1!$B$2:$B$10</c:f>
              <c:numCache>
                <c:formatCode>#,##0</c:formatCode>
                <c:ptCount val="9"/>
                <c:pt idx="0">
                  <c:v>11349</c:v>
                </c:pt>
                <c:pt idx="1">
                  <c:v>11224</c:v>
                </c:pt>
                <c:pt idx="2">
                  <c:v>11197</c:v>
                </c:pt>
                <c:pt idx="3">
                  <c:v>14966</c:v>
                </c:pt>
                <c:pt idx="4">
                  <c:v>17241</c:v>
                </c:pt>
                <c:pt idx="5">
                  <c:v>18276</c:v>
                </c:pt>
                <c:pt idx="6">
                  <c:v>19331</c:v>
                </c:pt>
                <c:pt idx="7">
                  <c:v>20284</c:v>
                </c:pt>
                <c:pt idx="8">
                  <c:v>20929</c:v>
                </c:pt>
              </c:numCache>
            </c:numRef>
          </c:val>
        </c:ser>
        <c:shape val="box"/>
        <c:axId val="79535104"/>
        <c:axId val="79540992"/>
        <c:axId val="0"/>
      </c:bar3DChart>
      <c:catAx>
        <c:axId val="795351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 i="0" baseline="0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540992"/>
        <c:crosses val="autoZero"/>
        <c:auto val="1"/>
        <c:lblAlgn val="ctr"/>
        <c:lblOffset val="100"/>
      </c:catAx>
      <c:valAx>
        <c:axId val="79540992"/>
        <c:scaling>
          <c:orientation val="minMax"/>
        </c:scaling>
        <c:delete val="1"/>
        <c:axPos val="l"/>
        <c:majorGridlines/>
        <c:numFmt formatCode="#,##0" sourceLinked="1"/>
        <c:tickLblPos val="nextTo"/>
        <c:crossAx val="79535104"/>
        <c:crosses val="autoZero"/>
        <c:crossBetween val="between"/>
      </c:valAx>
      <c:spPr>
        <a:noFill/>
        <a:ln w="2538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595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4.8808172531214507E-2"/>
          <c:y val="1.7660044150110375E-2"/>
          <c:w val="0.20940640420382323"/>
          <c:h val="0.23643061011492048"/>
        </c:manualLayout>
      </c:layout>
      <c:txPr>
        <a:bodyPr/>
        <a:lstStyle/>
        <a:p>
          <a:pPr>
            <a:defRPr sz="1362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rgbClr val="4F81BD">
        <a:lumMod val="40000"/>
        <a:lumOff val="60000"/>
        <a:alpha val="5000"/>
      </a:srgbClr>
    </a:solidFill>
    <a:ln>
      <a:noFill/>
    </a:ln>
    <a:effectLst>
      <a:outerShdw blurRad="63500" dist="25400" dir="5400000" rotWithShape="0">
        <a:srgbClr val="000000">
          <a:alpha val="43137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1.6244900261667869E-4"/>
          <c:y val="4.2957259899722974E-2"/>
          <c:w val="0.99983756827933379"/>
          <c:h val="0.861249713067943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технические жидкости</c:v>
                </c:pt>
              </c:strCache>
            </c:strRef>
          </c:tx>
          <c:spPr>
            <a:solidFill>
              <a:srgbClr val="FA345E"/>
            </a:solidFill>
          </c:spPr>
          <c:dLbls>
            <c:dLbl>
              <c:idx val="0"/>
              <c:layout>
                <c:manualLayout>
                  <c:x val="1.1151995423648963E-2"/>
                  <c:y val="-6.4882400648824052E-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dirty="0" smtClean="0">
                        <a:solidFill>
                          <a:srgbClr val="0070C0"/>
                        </a:solidFill>
                        <a:latin typeface="Verdana" pitchFamily="34" charset="0"/>
                        <a:cs typeface="Times New Roman" pitchFamily="18" charset="0"/>
                      </a:rPr>
                      <a:t>411</a:t>
                    </a:r>
                    <a:endParaRPr lang="en-US" sz="1600" b="1" dirty="0">
                      <a:solidFill>
                        <a:srgbClr val="0070C0"/>
                      </a:solidFill>
                      <a:latin typeface="Verdana" pitchFamily="34" charset="0"/>
                      <a:cs typeface="Times New Roman" pitchFamily="18" charset="0"/>
                    </a:endParaRP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200" b="1" dirty="0" smtClean="0">
                        <a:solidFill>
                          <a:srgbClr val="0070C0"/>
                        </a:solidFill>
                        <a:latin typeface="Verdana" pitchFamily="34" charset="0"/>
                        <a:cs typeface="Times New Roman" pitchFamily="18" charset="0"/>
                      </a:rPr>
                      <a:t>596</a:t>
                    </a:r>
                    <a:endParaRPr lang="en-US" sz="1600" b="1" dirty="0">
                      <a:solidFill>
                        <a:srgbClr val="0070C0"/>
                      </a:solidFill>
                      <a:latin typeface="Verdana" pitchFamily="34" charset="0"/>
                      <a:cs typeface="Times New Roman" pitchFamily="18" charset="0"/>
                    </a:endParaRPr>
                  </a:p>
                </c:rich>
              </c:tx>
            </c:dLbl>
            <c:dLbl>
              <c:idx val="5"/>
              <c:layout>
                <c:manualLayout>
                  <c:x val="7.5501297985382477E-3"/>
                  <c:y val="-5.8794198805946591E-3"/>
                </c:manualLayout>
              </c:layout>
              <c:showVal val="1"/>
            </c:dLbl>
            <c:dLbl>
              <c:idx val="6"/>
              <c:layout>
                <c:manualLayout>
                  <c:x val="9.0600129459360162E-3"/>
                  <c:y val="-2.9478006730102634E-3"/>
                </c:manualLayout>
              </c:layout>
              <c:showVal val="1"/>
            </c:dLbl>
            <c:dLbl>
              <c:idx val="7"/>
              <c:layout>
                <c:manualLayout>
                  <c:x val="-1.6625733088315026E-2"/>
                  <c:y val="-1.5808102699074129E-2"/>
                </c:manualLayout>
              </c:layout>
              <c:showVal val="1"/>
            </c:dLbl>
            <c:dLbl>
              <c:idx val="8"/>
              <c:layout>
                <c:manualLayout>
                  <c:x val="-3.0228605615119329E-3"/>
                  <c:y val="-2.061459260659349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0070C0"/>
                    </a:solidFill>
                    <a:latin typeface="Verdana" pitchFamily="34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411</c:v>
                </c:pt>
                <c:pt idx="1">
                  <c:v>596</c:v>
                </c:pt>
                <c:pt idx="2">
                  <c:v>541</c:v>
                </c:pt>
                <c:pt idx="3">
                  <c:v>583</c:v>
                </c:pt>
                <c:pt idx="4">
                  <c:v>494</c:v>
                </c:pt>
                <c:pt idx="5">
                  <c:v>389</c:v>
                </c:pt>
                <c:pt idx="6">
                  <c:v>370</c:v>
                </c:pt>
                <c:pt idx="7">
                  <c:v>333</c:v>
                </c:pt>
                <c:pt idx="8">
                  <c:v>342</c:v>
                </c:pt>
              </c:numCache>
            </c:numRef>
          </c:val>
        </c:ser>
        <c:shape val="box"/>
        <c:axId val="82846848"/>
        <c:axId val="82848384"/>
        <c:axId val="0"/>
      </c:bar3DChart>
      <c:catAx>
        <c:axId val="828468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 i="0" baseline="0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848384"/>
        <c:crosses val="autoZero"/>
        <c:auto val="1"/>
        <c:lblAlgn val="ctr"/>
        <c:lblOffset val="100"/>
      </c:catAx>
      <c:valAx>
        <c:axId val="8284838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82846848"/>
        <c:crosses val="autoZero"/>
        <c:crossBetween val="between"/>
      </c:valAx>
      <c:spPr>
        <a:noFill/>
        <a:ln w="2538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595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0195347098640559"/>
          <c:y val="2.9015741873185612E-2"/>
          <c:w val="0.26681052626693275"/>
          <c:h val="0.26306253712106747"/>
        </c:manualLayout>
      </c:layout>
      <c:txPr>
        <a:bodyPr/>
        <a:lstStyle/>
        <a:p>
          <a:pPr>
            <a:defRPr sz="1362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rgbClr val="4F81BD">
        <a:lumMod val="40000"/>
        <a:lumOff val="60000"/>
        <a:alpha val="5000"/>
      </a:srgbClr>
    </a:solidFill>
    <a:ln>
      <a:noFill/>
    </a:ln>
    <a:effectLst>
      <a:outerShdw blurRad="63500" dist="25400" dir="5400000" rotWithShape="0">
        <a:srgbClr val="000000">
          <a:alpha val="43137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5"/>
      <c:depthPercent val="100"/>
      <c:rAngAx val="1"/>
    </c:view3D>
    <c:floor>
      <c:spPr>
        <a:solidFill>
          <a:srgbClr val="C0C0C0"/>
        </a:solidFill>
        <a:ln w="9525">
          <a:noFill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1539260717410353E-2"/>
          <c:y val="2.1582777725428933E-2"/>
          <c:w val="0.96846073928258969"/>
          <c:h val="0.898322704395485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gradFill rotWithShape="0">
              <a:gsLst>
                <a:gs pos="0">
                  <a:srgbClr val="020202">
                    <a:gamma/>
                    <a:shade val="78824"/>
                    <a:invGamma/>
                  </a:srgbClr>
                </a:gs>
                <a:gs pos="50000">
                  <a:srgbClr val="2B6A3D"/>
                </a:gs>
                <a:gs pos="100000">
                  <a:srgbClr val="020202">
                    <a:gamma/>
                    <a:shade val="78824"/>
                    <a:invGamma/>
                  </a:srgbClr>
                </a:gs>
              </a:gsLst>
              <a:lin ang="2700000" scaled="1"/>
            </a:gradFill>
            <a:ln w="24606">
              <a:noFill/>
            </a:ln>
          </c:spPr>
          <c:dPt>
            <c:idx val="0"/>
            <c:spPr>
              <a:gradFill rotWithShape="0">
                <a:gsLst>
                  <a:gs pos="0">
                    <a:srgbClr val="020200">
                      <a:gamma/>
                      <a:shade val="78824"/>
                      <a:invGamma/>
                    </a:srgbClr>
                  </a:gs>
                  <a:gs pos="50000">
                    <a:srgbClr val="FFCC00"/>
                  </a:gs>
                  <a:gs pos="100000">
                    <a:srgbClr val="020200">
                      <a:gamma/>
                      <a:shade val="78824"/>
                      <a:invGamma/>
                    </a:srgbClr>
                  </a:gs>
                </a:gsLst>
                <a:lin ang="2700000" scaled="1"/>
              </a:gradFill>
              <a:ln w="24606">
                <a:noFill/>
              </a:ln>
            </c:spPr>
          </c:dPt>
          <c:dPt>
            <c:idx val="1"/>
            <c:spPr>
              <a:gradFill rotWithShape="0">
                <a:gsLst>
                  <a:gs pos="0">
                    <a:srgbClr val="010101">
                      <a:gamma/>
                      <a:shade val="72549"/>
                      <a:invGamma/>
                    </a:srgbClr>
                  </a:gs>
                  <a:gs pos="50000">
                    <a:srgbClr val="CC99FF"/>
                  </a:gs>
                  <a:gs pos="100000">
                    <a:srgbClr val="010101">
                      <a:gamma/>
                      <a:shade val="72549"/>
                      <a:invGamma/>
                    </a:srgbClr>
                  </a:gs>
                </a:gsLst>
                <a:lin ang="2700000" scaled="1"/>
              </a:gradFill>
              <a:ln w="24606">
                <a:noFill/>
              </a:ln>
            </c:spPr>
          </c:dPt>
          <c:dPt>
            <c:idx val="2"/>
            <c:spPr>
              <a:gradFill rotWithShape="0">
                <a:gsLst>
                  <a:gs pos="0">
                    <a:srgbClr val="020202">
                      <a:gamma/>
                      <a:shade val="78824"/>
                      <a:invGamma/>
                    </a:srgbClr>
                  </a:gs>
                  <a:gs pos="50000">
                    <a:srgbClr val="33CCCC"/>
                  </a:gs>
                  <a:gs pos="100000">
                    <a:srgbClr val="020202">
                      <a:gamma/>
                      <a:shade val="78824"/>
                      <a:invGamma/>
                    </a:srgbClr>
                  </a:gs>
                </a:gsLst>
                <a:lin ang="2700000" scaled="1"/>
              </a:gradFill>
              <a:ln w="24606">
                <a:noFill/>
              </a:ln>
            </c:spPr>
          </c:dPt>
          <c:dPt>
            <c:idx val="3"/>
            <c:spPr>
              <a:gradFill rotWithShape="0">
                <a:gsLst>
                  <a:gs pos="0">
                    <a:srgbClr val="010100">
                      <a:gamma/>
                      <a:shade val="69804"/>
                      <a:invGamma/>
                    </a:srgbClr>
                  </a:gs>
                  <a:gs pos="50000">
                    <a:srgbClr val="FF9900"/>
                  </a:gs>
                  <a:gs pos="100000">
                    <a:srgbClr val="010100">
                      <a:gamma/>
                      <a:shade val="69804"/>
                      <a:invGamma/>
                    </a:srgbClr>
                  </a:gs>
                </a:gsLst>
                <a:lin ang="2700000" scaled="1"/>
              </a:gradFill>
              <a:ln w="24606">
                <a:noFill/>
              </a:ln>
            </c:spPr>
          </c:dPt>
          <c:dPt>
            <c:idx val="4"/>
            <c:spPr>
              <a:gradFill rotWithShape="0">
                <a:gsLst>
                  <a:gs pos="0">
                    <a:srgbClr val="020200">
                      <a:gamma/>
                      <a:shade val="78824"/>
                      <a:invGamma/>
                    </a:srgbClr>
                  </a:gs>
                  <a:gs pos="50000">
                    <a:srgbClr val="99CC00"/>
                  </a:gs>
                  <a:gs pos="100000">
                    <a:srgbClr val="020200">
                      <a:gamma/>
                      <a:shade val="78824"/>
                      <a:invGamma/>
                    </a:srgbClr>
                  </a:gs>
                </a:gsLst>
                <a:lin ang="2700000" scaled="1"/>
              </a:gradFill>
              <a:ln w="24606">
                <a:noFill/>
              </a:ln>
            </c:spPr>
          </c:dPt>
          <c:cat>
            <c:strRef>
              <c:f>Sheet1!$B$1:$H$1</c:f>
              <c:strCache>
                <c:ptCount val="5"/>
                <c:pt idx="0">
                  <c:v>Ацетон-Метанол</c:v>
                </c:pt>
                <c:pt idx="1">
                  <c:v>Ацетон-Изопропанол</c:v>
                </c:pt>
                <c:pt idx="2">
                  <c:v>Ацетон-Толуол</c:v>
                </c:pt>
                <c:pt idx="3">
                  <c:v>Ацетон-Изоамиловый</c:v>
                </c:pt>
                <c:pt idx="4">
                  <c:v>Ацетон-Толуол-о-ксилол</c:v>
                </c:pt>
              </c:strCache>
            </c:strRef>
          </c:cat>
          <c:val>
            <c:numRef>
              <c:f>Sheet1!$B$2:$F$2</c:f>
              <c:numCache>
                <c:formatCode>#,##0</c:formatCode>
                <c:ptCount val="5"/>
                <c:pt idx="0">
                  <c:v>65</c:v>
                </c:pt>
                <c:pt idx="1">
                  <c:v>24</c:v>
                </c:pt>
                <c:pt idx="2">
                  <c:v>8</c:v>
                </c:pt>
                <c:pt idx="3">
                  <c:v>7</c:v>
                </c:pt>
                <c:pt idx="4">
                  <c:v>5</c:v>
                </c:pt>
              </c:numCache>
            </c:numRef>
          </c:val>
        </c:ser>
        <c:gapWidth val="80"/>
        <c:gapDepth val="0"/>
        <c:shape val="box"/>
        <c:axId val="82900096"/>
        <c:axId val="82901632"/>
        <c:axId val="0"/>
      </c:bar3DChart>
      <c:catAx>
        <c:axId val="82900096"/>
        <c:scaling>
          <c:orientation val="minMax"/>
        </c:scaling>
        <c:axPos val="b"/>
        <c:numFmt formatCode="General" sourceLinked="1"/>
        <c:tickLblPos val="low"/>
        <c:spPr>
          <a:ln w="12304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ru-RU"/>
          </a:p>
        </c:txPr>
        <c:crossAx val="82901632"/>
        <c:crosses val="autoZero"/>
        <c:lblAlgn val="ctr"/>
        <c:lblOffset val="100"/>
        <c:tickLblSkip val="1"/>
        <c:tickMarkSkip val="1"/>
      </c:catAx>
      <c:valAx>
        <c:axId val="82901632"/>
        <c:scaling>
          <c:orientation val="minMax"/>
        </c:scaling>
        <c:axPos val="l"/>
        <c:majorGridlines>
          <c:spPr>
            <a:ln w="12304">
              <a:solidFill>
                <a:srgbClr val="808080"/>
              </a:solidFill>
              <a:prstDash val="solid"/>
            </a:ln>
          </c:spPr>
        </c:majorGridlines>
        <c:numFmt formatCode="#,##0" sourceLinked="1"/>
        <c:tickLblPos val="nextTo"/>
        <c:spPr>
          <a:ln w="12304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7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900096"/>
        <c:crosses val="autoZero"/>
        <c:crossBetween val="between"/>
      </c:valAx>
      <c:spPr>
        <a:noFill/>
        <a:ln w="2539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742" b="1" i="0" u="none" strike="noStrike" baseline="0">
          <a:solidFill>
            <a:schemeClr val="tx1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solidFill>
                  <a:srgbClr val="002060"/>
                </a:solidFill>
                <a:effectLst/>
                <a:latin typeface="Times New Roman" pitchFamily="18" charset="0"/>
                <a:cs typeface="Times New Roman" pitchFamily="18" charset="0"/>
              </a:defRPr>
            </a:pPr>
            <a:r>
              <a:rPr lang="ru-RU" sz="1100" dirty="0" smtClean="0">
                <a:solidFill>
                  <a:srgbClr val="002060"/>
                </a:solidFill>
                <a:effectLst/>
                <a:latin typeface="Times New Roman" pitchFamily="18" charset="0"/>
                <a:cs typeface="Times New Roman" pitchFamily="18" charset="0"/>
              </a:rPr>
              <a:t>В  % от общего числа случаев обнаружения «суррогатов» алкоголя</a:t>
            </a:r>
            <a:endParaRPr lang="ru-RU" sz="1100" dirty="0">
              <a:solidFill>
                <a:srgbClr val="002060"/>
              </a:solidFill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220059756681363"/>
          <c:y val="5.376637211302134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2534490880947586E-2"/>
          <c:y val="0.1108466395260964"/>
          <c:w val="0.66389871077436102"/>
          <c:h val="0.8363936642490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общего числа случаев обнаружения "суррогатов" алкоголя</c:v>
                </c:pt>
              </c:strCache>
            </c:strRef>
          </c:tx>
          <c:explosion val="28"/>
          <c:dPt>
            <c:idx val="0"/>
            <c:spPr>
              <a:solidFill>
                <a:srgbClr val="B579A8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0.17946261909086453"/>
                  <c:y val="-5.15263549964958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</a:t>
                    </a:r>
                    <a:r>
                      <a:rPr lang="ru-RU"/>
                      <a:t>,10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1"/>
              <c:layout>
                <c:manualLayout>
                  <c:x val="6.652448061953746E-2"/>
                  <c:y val="-0.12097468267123986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0.14517838611283795"/>
                  <c:y val="4.4337033069363846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0.10520196034505212"/>
                  <c:y val="-0.12993487521439109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6.9364790656261985E-2"/>
                  <c:y val="8.0166337300137652E-3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-4.6412971658119995E-3"/>
                  <c:y val="-1.5681081031501183E-2"/>
                </c:manualLayout>
              </c:layout>
              <c:dLblPos val="bestFit"/>
              <c:showVal val="1"/>
            </c:dLbl>
            <c:dLbl>
              <c:idx val="6"/>
              <c:layout>
                <c:manualLayout>
                  <c:x val="2.3784002924608142E-2"/>
                  <c:y val="2.3755667482747746E-3"/>
                </c:manualLayout>
              </c:layout>
              <c:dLblPos val="bestFit"/>
              <c:showVal val="1"/>
            </c:dLbl>
            <c:dLbl>
              <c:idx val="7"/>
              <c:layout>
                <c:manualLayout>
                  <c:x val="1.3834390531422788E-2"/>
                  <c:y val="-2.6671544689919506E-4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200" b="1">
                    <a:effectLst/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Екатеринбург</c:v>
                </c:pt>
                <c:pt idx="1">
                  <c:v>Нижний Тагил</c:v>
                </c:pt>
                <c:pt idx="2">
                  <c:v>Районные отделения СО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0.55100000000000005</c:v>
                </c:pt>
                <c:pt idx="1">
                  <c:v>5.9000000000000011E-2</c:v>
                </c:pt>
                <c:pt idx="2">
                  <c:v>0.39000000000000012</c:v>
                </c:pt>
              </c:numCache>
            </c:numRef>
          </c:val>
        </c:ser>
      </c:pie3DChart>
      <c:spPr>
        <a:noFill/>
        <a:ln w="2540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1">
                <a:effectLst/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effectLst/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effectLst/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8285651793525792"/>
          <c:y val="0.29709148972477523"/>
          <c:w val="0.31559919859205532"/>
          <c:h val="0.42041290140745852"/>
        </c:manualLayout>
      </c:layout>
      <c:txPr>
        <a:bodyPr/>
        <a:lstStyle/>
        <a:p>
          <a:pPr>
            <a:defRPr sz="1200" b="1">
              <a:effectLst/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solidFill>
        <a:schemeClr val="bg1"/>
      </a:solidFill>
    </a:ln>
  </c:spPr>
  <c:txPr>
    <a:bodyPr/>
    <a:lstStyle/>
    <a:p>
      <a:pPr>
        <a:defRPr sz="1800"/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0.07337</cdr:x>
      <cdr:y>0.82222</cdr:y>
    </cdr:from>
    <cdr:to>
      <cdr:x>0.90903</cdr:x>
      <cdr:y>0.88443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35849" y="3372829"/>
          <a:ext cx="4964176" cy="2551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>
          <a:spAutoFit/>
        </a:bodyPr>
        <a:lstStyle xmlns:a="http://schemas.openxmlformats.org/drawingml/2006/main">
          <a:defPPr>
            <a:defRPr lang="en-US"/>
          </a:defPPr>
          <a:lvl1pPr algn="ctr" rtl="0" fontAlgn="base">
            <a:spcBef>
              <a:spcPct val="0"/>
            </a:spcBef>
            <a:spcAft>
              <a:spcPct val="0"/>
            </a:spcAft>
            <a:defRPr kern="1200">
              <a:solidFill>
                <a:schemeClr val="tx1"/>
              </a:solidFill>
              <a:latin typeface="Arial" charset="0"/>
              <a:ea typeface="+mn-ea"/>
              <a:cs typeface="+mn-cs"/>
            </a:defRPr>
          </a:lvl1pPr>
          <a:lvl2pPr marL="457200" algn="ctr" rtl="0" fontAlgn="base">
            <a:spcBef>
              <a:spcPct val="0"/>
            </a:spcBef>
            <a:spcAft>
              <a:spcPct val="0"/>
            </a:spcAft>
            <a:defRPr kern="1200">
              <a:solidFill>
                <a:schemeClr val="tx1"/>
              </a:solidFill>
              <a:latin typeface="Arial" charset="0"/>
              <a:ea typeface="+mn-ea"/>
              <a:cs typeface="+mn-cs"/>
            </a:defRPr>
          </a:lvl2pPr>
          <a:lvl3pPr marL="914400" algn="ctr" rtl="0" fontAlgn="base">
            <a:spcBef>
              <a:spcPct val="0"/>
            </a:spcBef>
            <a:spcAft>
              <a:spcPct val="0"/>
            </a:spcAft>
            <a:defRPr kern="1200">
              <a:solidFill>
                <a:schemeClr val="tx1"/>
              </a:solidFill>
              <a:latin typeface="Arial" charset="0"/>
              <a:ea typeface="+mn-ea"/>
              <a:cs typeface="+mn-cs"/>
            </a:defRPr>
          </a:lvl3pPr>
          <a:lvl4pPr marL="1371600" algn="ctr" rtl="0" fontAlgn="base">
            <a:spcBef>
              <a:spcPct val="0"/>
            </a:spcBef>
            <a:spcAft>
              <a:spcPct val="0"/>
            </a:spcAft>
            <a:defRPr kern="1200">
              <a:solidFill>
                <a:schemeClr val="tx1"/>
              </a:solidFill>
              <a:latin typeface="Arial" charset="0"/>
              <a:ea typeface="+mn-ea"/>
              <a:cs typeface="+mn-cs"/>
            </a:defRPr>
          </a:lvl4pPr>
          <a:lvl5pPr marL="1828800" algn="ctr" rtl="0" fontAlgn="base">
            <a:spcBef>
              <a:spcPct val="0"/>
            </a:spcBef>
            <a:spcAft>
              <a:spcPct val="0"/>
            </a:spcAft>
            <a:defRPr kern="1200">
              <a:solidFill>
                <a:schemeClr val="tx1"/>
              </a:solidFill>
              <a:latin typeface="Arial" charset="0"/>
              <a:ea typeface="+mn-ea"/>
              <a:cs typeface="+mn-cs"/>
            </a:defRPr>
          </a:lvl5pPr>
          <a:lvl6pPr marL="2286000" algn="l" defTabSz="914400" rtl="0" eaLnBrk="1" latinLnBrk="0" hangingPunct="1">
            <a:defRPr kern="1200">
              <a:solidFill>
                <a:schemeClr val="tx1"/>
              </a:solidFill>
              <a:latin typeface="Arial" charset="0"/>
              <a:ea typeface="+mn-ea"/>
              <a:cs typeface="+mn-cs"/>
            </a:defRPr>
          </a:lvl6pPr>
          <a:lvl7pPr marL="2743200" algn="l" defTabSz="914400" rtl="0" eaLnBrk="1" latinLnBrk="0" hangingPunct="1">
            <a:defRPr kern="1200">
              <a:solidFill>
                <a:schemeClr val="tx1"/>
              </a:solidFill>
              <a:latin typeface="Arial" charset="0"/>
              <a:ea typeface="+mn-ea"/>
              <a:cs typeface="+mn-cs"/>
            </a:defRPr>
          </a:lvl7pPr>
          <a:lvl8pPr marL="3200400" algn="l" defTabSz="914400" rtl="0" eaLnBrk="1" latinLnBrk="0" hangingPunct="1">
            <a:defRPr kern="1200">
              <a:solidFill>
                <a:schemeClr val="tx1"/>
              </a:solidFill>
              <a:latin typeface="Arial" charset="0"/>
              <a:ea typeface="+mn-ea"/>
              <a:cs typeface="+mn-cs"/>
            </a:defRPr>
          </a:lvl8pPr>
          <a:lvl9pPr marL="3657600" algn="l" defTabSz="914400" rtl="0" eaLnBrk="1" latinLnBrk="0" hangingPunct="1">
            <a:defRPr kern="1200">
              <a:solidFill>
                <a:schemeClr val="tx1"/>
              </a:solidFill>
              <a:latin typeface="Arial" charset="0"/>
              <a:ea typeface="+mn-ea"/>
              <a:cs typeface="+mn-cs"/>
            </a:defRPr>
          </a:lvl9pPr>
        </a:lstStyle>
        <a:p xmlns:a="http://schemas.openxmlformats.org/drawingml/2006/main">
          <a:pPr>
            <a:defRPr/>
          </a:pPr>
          <a:r>
            <a:rPr lang="ru-RU" b="1" dirty="0">
              <a:solidFill>
                <a:srgbClr val="FF000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*</a:t>
          </a:r>
          <a:r>
            <a:rPr lang="ru-RU" sz="1100" b="1" dirty="0">
              <a:solidFill>
                <a:srgbClr val="FF000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включая ацетон, обнаруживаемый  при сахарном диабете </a:t>
          </a:r>
          <a:endParaRPr lang="ru-RU" sz="1100" dirty="0">
            <a:solidFill>
              <a:srgbClr val="FF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omr4</cp:lastModifiedBy>
  <cp:revision>2</cp:revision>
  <cp:lastPrinted>2018-03-12T01:36:00Z</cp:lastPrinted>
  <dcterms:created xsi:type="dcterms:W3CDTF">2018-03-12T04:13:00Z</dcterms:created>
  <dcterms:modified xsi:type="dcterms:W3CDTF">2018-03-12T04:13:00Z</dcterms:modified>
</cp:coreProperties>
</file>